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132C05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выполнение технического обслуживания по обеспечению противопожарных мероприятий в течени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 12 месяцев 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, ул. Вокзальная д.134,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132C05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7А</w:t>
      </w:r>
      <w:r w:rsidR="0059741A">
        <w:rPr>
          <w:rFonts w:ascii="Times New Roman" w:hAnsi="Times New Roman"/>
          <w:b/>
          <w:sz w:val="24"/>
          <w:szCs w:val="24"/>
          <w:u w:val="single"/>
        </w:rPr>
        <w:t>, г. Фокино ул. Карла Маркса д.13</w:t>
      </w:r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, г. Новозыбков, ул. Рошаля д.25, г. </w:t>
      </w:r>
      <w:proofErr w:type="spellStart"/>
      <w:r w:rsidR="009D3BB6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 проспект Ленина д.29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367 909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,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5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4B5E11">
        <w:t xml:space="preserve">3. Предмет договора с указанием количества поставляемого товара, объёма выполняемых работ, оказываемых услуг: </w:t>
      </w:r>
      <w:r w:rsidR="009D3BB6">
        <w:rPr>
          <w:b/>
          <w:u w:val="single"/>
        </w:rPr>
        <w:t>выполнение технического обслуживания по обеспечению противопожарных мероприятий в течени</w:t>
      </w:r>
      <w:proofErr w:type="gramStart"/>
      <w:r w:rsidR="009D3BB6">
        <w:rPr>
          <w:b/>
          <w:u w:val="single"/>
        </w:rPr>
        <w:t>и</w:t>
      </w:r>
      <w:proofErr w:type="gramEnd"/>
      <w:r w:rsidR="009D3BB6">
        <w:rPr>
          <w:b/>
          <w:u w:val="single"/>
        </w:rPr>
        <w:t xml:space="preserve"> 12 месяцев</w:t>
      </w:r>
    </w:p>
    <w:p w:rsidR="009D3BB6" w:rsidRPr="004B5E11" w:rsidRDefault="009D3BB6" w:rsidP="001F2A9D">
      <w:pPr>
        <w:pStyle w:val="Default"/>
        <w:ind w:firstLine="709"/>
        <w:jc w:val="both"/>
      </w:pPr>
    </w:p>
    <w:p w:rsidR="009D3BB6" w:rsidRDefault="001F2A9D" w:rsidP="009D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2A9D">
        <w:rPr>
          <w:rFonts w:ascii="Times New Roman" w:hAnsi="Times New Roman"/>
          <w:color w:val="000000"/>
          <w:sz w:val="24"/>
          <w:szCs w:val="24"/>
        </w:rPr>
        <w:t>4. Место, условия и сроки (периоды) поставки товара, выполнения работ, оказания услуг:</w:t>
      </w:r>
      <w:r w:rsidRPr="00C413E4">
        <w:t xml:space="preserve"> </w:t>
      </w:r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59741A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59741A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, ул. Вокзальная д.134, </w:t>
      </w:r>
      <w:r w:rsidR="009D3BB6" w:rsidRPr="00E95771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9D3BB6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ул. Карла Маркса</w:t>
      </w:r>
      <w:r w:rsidR="009D3BB6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7А, г. Фокино ул. Карла Маркса д.13, г. Новозыбков, ул. Рошаля д.25, г. </w:t>
      </w:r>
      <w:proofErr w:type="spellStart"/>
      <w:r w:rsidR="009D3BB6">
        <w:rPr>
          <w:rFonts w:ascii="Times New Roman" w:hAnsi="Times New Roman"/>
          <w:b/>
          <w:sz w:val="24"/>
          <w:szCs w:val="24"/>
          <w:u w:val="single"/>
        </w:rPr>
        <w:t>Клинцы</w:t>
      </w:r>
      <w:proofErr w:type="spellEnd"/>
      <w:r w:rsidR="009D3BB6">
        <w:rPr>
          <w:rFonts w:ascii="Times New Roman" w:hAnsi="Times New Roman"/>
          <w:b/>
          <w:sz w:val="24"/>
          <w:szCs w:val="24"/>
          <w:u w:val="single"/>
        </w:rPr>
        <w:t xml:space="preserve"> проспект Ленина д.29</w:t>
      </w:r>
      <w:r w:rsidR="009D3BB6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D3BB6" w:rsidRPr="00E95771" w:rsidRDefault="009D3BB6" w:rsidP="009D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14 января по 31 декабря 2019 года</w:t>
      </w:r>
    </w:p>
    <w:p w:rsidR="001F2A9D" w:rsidRPr="00C413E4" w:rsidRDefault="001F2A9D" w:rsidP="009D3BB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5. Сведения о начальной (максимальной) цене договора (цене лота) –</w:t>
      </w:r>
      <w:r>
        <w:t xml:space="preserve"> </w:t>
      </w:r>
      <w:r w:rsidR="009D3BB6">
        <w:rPr>
          <w:b/>
          <w:u w:val="single"/>
        </w:rPr>
        <w:t>367 909</w:t>
      </w:r>
      <w:r w:rsidR="009D3BB6" w:rsidRPr="00132C05">
        <w:rPr>
          <w:b/>
          <w:u w:val="single"/>
        </w:rPr>
        <w:t>,</w:t>
      </w:r>
      <w:r w:rsidR="009D3BB6">
        <w:rPr>
          <w:b/>
          <w:u w:val="single"/>
        </w:rPr>
        <w:t>5</w:t>
      </w:r>
      <w:r w:rsidR="009D3BB6" w:rsidRPr="00132C05">
        <w:rPr>
          <w:b/>
          <w:u w:val="single"/>
        </w:rPr>
        <w:t>0</w:t>
      </w:r>
      <w:r w:rsidR="009D3BB6">
        <w:rPr>
          <w:b/>
          <w:u w:val="single"/>
        </w:rPr>
        <w:t xml:space="preserve"> рубл</w:t>
      </w:r>
      <w:r w:rsidR="009D3BB6" w:rsidRPr="00132C05">
        <w:rPr>
          <w:b/>
          <w:u w:val="single"/>
        </w:rPr>
        <w:t>ей</w:t>
      </w:r>
      <w:r w:rsidR="009D3BB6">
        <w:rPr>
          <w:b/>
          <w:u w:val="single"/>
        </w:rPr>
        <w:t xml:space="preserve"> </w:t>
      </w:r>
      <w:proofErr w:type="spellStart"/>
      <w:proofErr w:type="gramStart"/>
      <w:r w:rsidR="0059741A">
        <w:rPr>
          <w:b/>
          <w:u w:val="single"/>
        </w:rPr>
        <w:t>рубл</w:t>
      </w:r>
      <w:r w:rsidR="00132C05">
        <w:rPr>
          <w:b/>
          <w:u w:val="single"/>
        </w:rPr>
        <w:t>ей</w:t>
      </w:r>
      <w:proofErr w:type="spellEnd"/>
      <w:proofErr w:type="gramEnd"/>
      <w:r>
        <w:rPr>
          <w:b/>
          <w:u w:val="single"/>
        </w:rPr>
        <w:t>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10 банковских дней за фактически оказанные услуги, на основании представленных и подписанных актов оказания услуг, счетов.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CF0EE1">
        <w:rPr>
          <w:b/>
          <w:szCs w:val="21"/>
          <w:u w:val="single"/>
        </w:rPr>
        <w:t>работ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 xml:space="preserve">конодательства РФ. </w:t>
      </w:r>
      <w:r w:rsidR="00CF0EE1">
        <w:rPr>
          <w:b/>
          <w:szCs w:val="21"/>
          <w:u w:val="single"/>
        </w:rPr>
        <w:t>Работы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CF0EE1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 xml:space="preserve"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Pr="00C413E4">
        <w:lastRenderedPageBreak/>
        <w:t>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2019-01-18T08:47:00Z</cp:lastPrinted>
  <dcterms:created xsi:type="dcterms:W3CDTF">2019-01-15T13:38:00Z</dcterms:created>
  <dcterms:modified xsi:type="dcterms:W3CDTF">2019-01-18T08:48:00Z</dcterms:modified>
</cp:coreProperties>
</file>