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8D6EF9">
        <w:rPr>
          <w:rFonts w:ascii="Times New Roman" w:hAnsi="Times New Roman"/>
          <w:b/>
          <w:sz w:val="24"/>
          <w:szCs w:val="24"/>
          <w:u w:val="single"/>
        </w:rPr>
        <w:t>электромонтажных работ в здании</w:t>
      </w:r>
      <w:r w:rsidR="009619F3">
        <w:rPr>
          <w:rFonts w:ascii="Times New Roman" w:hAnsi="Times New Roman"/>
          <w:b/>
          <w:sz w:val="24"/>
          <w:szCs w:val="24"/>
          <w:u w:val="single"/>
        </w:rPr>
        <w:t xml:space="preserve"> в Новозыбковско</w:t>
      </w:r>
      <w:r w:rsidR="008D6EF9">
        <w:rPr>
          <w:rFonts w:ascii="Times New Roman" w:hAnsi="Times New Roman"/>
          <w:b/>
          <w:sz w:val="24"/>
          <w:szCs w:val="24"/>
          <w:u w:val="single"/>
        </w:rPr>
        <w:t>го</w:t>
      </w:r>
      <w:r w:rsidR="009619F3">
        <w:rPr>
          <w:rFonts w:ascii="Times New Roman" w:hAnsi="Times New Roman"/>
          <w:b/>
          <w:sz w:val="24"/>
          <w:szCs w:val="24"/>
          <w:u w:val="single"/>
        </w:rPr>
        <w:t xml:space="preserve"> филиал</w:t>
      </w:r>
      <w:r w:rsidR="008D6EF9">
        <w:rPr>
          <w:rFonts w:ascii="Times New Roman" w:hAnsi="Times New Roman"/>
          <w:b/>
          <w:sz w:val="24"/>
          <w:szCs w:val="24"/>
          <w:u w:val="single"/>
        </w:rPr>
        <w:t>а</w:t>
      </w:r>
      <w:r w:rsidR="009619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Новозыбков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Рошаля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25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9619F3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Новозыбков, ул. Рошаля д.25</w:t>
      </w:r>
      <w:r w:rsidR="009619F3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8D6EF9">
        <w:rPr>
          <w:rFonts w:ascii="Times New Roman" w:hAnsi="Times New Roman"/>
          <w:b/>
          <w:sz w:val="24"/>
          <w:szCs w:val="24"/>
          <w:u w:val="single"/>
        </w:rPr>
        <w:t xml:space="preserve"> с 09 по 15 декабря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8D6EF9">
        <w:rPr>
          <w:rFonts w:ascii="Times New Roman" w:hAnsi="Times New Roman"/>
          <w:b/>
          <w:sz w:val="24"/>
          <w:szCs w:val="24"/>
          <w:u w:val="single"/>
        </w:rPr>
        <w:t>285 943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8D6EF9">
        <w:rPr>
          <w:rFonts w:ascii="Times New Roman" w:hAnsi="Times New Roman"/>
          <w:b/>
          <w:sz w:val="24"/>
          <w:szCs w:val="24"/>
          <w:u w:val="single"/>
        </w:rPr>
        <w:t>я 16 копеек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9619F3">
        <w:t xml:space="preserve"> </w:t>
      </w:r>
      <w:r w:rsidR="009619F3" w:rsidRPr="008163E4">
        <w:rPr>
          <w:b/>
          <w:u w:val="single"/>
        </w:rPr>
        <w:t xml:space="preserve">Государственное </w:t>
      </w:r>
      <w:r w:rsidRPr="008163E4">
        <w:rPr>
          <w:b/>
          <w:u w:val="single"/>
        </w:rPr>
        <w:t xml:space="preserve">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8D6EF9" w:rsidRPr="00686E87" w:rsidRDefault="008D6EF9" w:rsidP="008D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электромонтажных работ в здании в Новозыбковского филиала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Новозыбков, ул. Рошаля д.25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D6EF9" w:rsidRPr="0067065B" w:rsidRDefault="008D6EF9" w:rsidP="008D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EF9" w:rsidRPr="00686E87" w:rsidRDefault="008D6EF9" w:rsidP="008D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Новозыбков, ул. Рошаля д.25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D6EF9" w:rsidRPr="0067065B" w:rsidRDefault="008D6EF9" w:rsidP="008D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8D6EF9" w:rsidRPr="00D4365E" w:rsidRDefault="008D6EF9" w:rsidP="008D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 09 по 15 декабря 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D6EF9" w:rsidRPr="00661B00" w:rsidRDefault="008D6EF9" w:rsidP="008D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D6EF9" w:rsidRDefault="008D6EF9" w:rsidP="008D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285 943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>
        <w:rPr>
          <w:rFonts w:ascii="Times New Roman" w:hAnsi="Times New Roman"/>
          <w:b/>
          <w:sz w:val="24"/>
          <w:szCs w:val="24"/>
          <w:u w:val="single"/>
        </w:rPr>
        <w:t>я 16 копеек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</w:t>
      </w:r>
      <w:r w:rsidR="008D6EF9">
        <w:rPr>
          <w:rFonts w:ascii="Times New Roman" w:hAnsi="Times New Roman"/>
          <w:sz w:val="24"/>
          <w:szCs w:val="24"/>
        </w:rPr>
        <w:t>с 09 по 15 декабря</w:t>
      </w:r>
      <w:r w:rsidRPr="008E0296">
        <w:rPr>
          <w:rFonts w:ascii="Times New Roman" w:hAnsi="Times New Roman"/>
          <w:sz w:val="24"/>
          <w:szCs w:val="24"/>
        </w:rPr>
        <w:t xml:space="preserve"> 2020 года. </w:t>
      </w:r>
    </w:p>
    <w:p w:rsid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9619F3" w:rsidRDefault="009619F3" w:rsidP="009619F3">
      <w:pPr>
        <w:keepNext/>
        <w:keepLines/>
        <w:suppressLineNumbers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F3" w:rsidRPr="008E0296" w:rsidRDefault="009619F3" w:rsidP="009619F3">
      <w:pPr>
        <w:keepNext/>
        <w:keepLines/>
        <w:suppressLineNumbers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4.3. С целью приемки выполненных работ по настоящему Договору Подрядчик в течении 10 календарных дней после окончания очередного этапа работ,</w:t>
      </w:r>
      <w:r w:rsidR="009619F3"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 xml:space="preserve">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3F" w:rsidRDefault="0081093F" w:rsidP="008E0296">
      <w:pPr>
        <w:spacing w:after="0" w:line="240" w:lineRule="auto"/>
      </w:pPr>
      <w:r>
        <w:separator/>
      </w:r>
    </w:p>
  </w:endnote>
  <w:endnote w:type="continuationSeparator" w:id="1">
    <w:p w:rsidR="0081093F" w:rsidRDefault="0081093F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3F" w:rsidRDefault="0081093F" w:rsidP="008E0296">
      <w:pPr>
        <w:spacing w:after="0" w:line="240" w:lineRule="auto"/>
      </w:pPr>
      <w:r>
        <w:separator/>
      </w:r>
    </w:p>
  </w:footnote>
  <w:footnote w:type="continuationSeparator" w:id="1">
    <w:p w:rsidR="0081093F" w:rsidRDefault="0081093F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3214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093F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B28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6EF9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19F3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78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BE2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2020-12-09T10:55:00Z</cp:lastPrinted>
  <dcterms:created xsi:type="dcterms:W3CDTF">2020-10-30T08:15:00Z</dcterms:created>
  <dcterms:modified xsi:type="dcterms:W3CDTF">2020-12-09T12:29:00Z</dcterms:modified>
</cp:coreProperties>
</file>