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rPr>
          <w:rFonts w:ascii="Arial" w:hAnsi="Arial" w:cs="Arial"/>
        </w:rPr>
        <w:sectPr>
          <w:footerReference xmlns:r="http://schemas.openxmlformats.org/officeDocument/2006/relationships" w:type="default" r:id="RelFtr1"/>
          <w:type w:val="nextPage"/>
          <w:pgSz w:w="11950" w:h="16901" w:code="0"/>
          <w:pgMar w:left="567" w:right="567" w:top="567" w:bottom="567" w:header="708" w:footer="708" w:gutter="0"/>
          <w:pgNumType w:start="1"/>
          <w:noEndnote/>
        </w:sectPr>
      </w:pPr>
    </w:p>
    <w:tbl>
      <w:tblPr>
        <w:tblW w:w="0" w:type="auto"/>
        <w:tblInd w:w="0" w:type="dxa"/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281"/>
        </w:trPr>
        <w:tc>
          <w:tcPr>
            <w:tcW w:w="819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drawing>
                <wp:inline xmlns:wp="http://schemas.openxmlformats.org/drawingml/2006/wordprocessingDrawing">
                  <wp:extent cx="5198745" cy="15449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8745" cy="154495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УТВЕРЖДАЮ</w:t>
            </w:r>
          </w:p>
        </w:tc>
      </w:tr>
      <w:tr>
        <w:trPr>
          <w:trHeight w:hRule="atLeast" w:val="289"/>
        </w:trPr>
        <w:tc>
          <w:tcPr>
            <w:tcW w:w="8193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Руководитель</w:t>
            </w:r>
          </w:p>
        </w:tc>
      </w:tr>
      <w:tr>
        <w:trPr>
          <w:trHeight w:hRule="atLeast" w:val="289"/>
        </w:trPr>
        <w:tc>
          <w:tcPr>
            <w:tcW w:w="8193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(уполномоченное лицо)</w:t>
            </w:r>
          </w:p>
        </w:tc>
      </w:tr>
      <w:tr>
        <w:trPr>
          <w:trHeight w:hRule="atLeast" w:val="277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ДЕПАРТАМЕНТ ОБРАЗОВАНИЯ И НАУКИ БРЯНСКОЙ ОБЛАСТИ</w:t>
            </w:r>
          </w:p>
        </w:tc>
      </w:tr>
      <w:tr>
        <w:trPr>
          <w:trHeight w:hRule="atLeast" w:val="566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(наименование органа, осуществляющего функции </w:t>
              <w:br w:type="textWrapping"/>
              <w:t xml:space="preserve">и полномочия учредителя, главного распорядителя средств областного  бюджета, государственного учреждения)</w:t>
            </w:r>
          </w:p>
        </w:tc>
      </w:tr>
      <w:tr>
        <w:trPr>
          <w:trHeight w:hRule="atLeast" w:val="297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___________         _________         _____________________</w:t>
            </w:r>
          </w:p>
        </w:tc>
      </w:tr>
      <w:tr>
        <w:trPr>
          <w:trHeight w:hRule="atLeast" w:val="289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(должность)         (подпись)         (расшифровка подписи)</w:t>
            </w:r>
          </w:p>
        </w:tc>
      </w:tr>
      <w:tr>
        <w:trPr>
          <w:trHeight w:hRule="atLeast" w:val="556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"____" ___________ 20___г.</w:t>
            </w:r>
          </w:p>
        </w:tc>
      </w:tr>
      <w:tr>
        <w:trPr>
          <w:trHeight w:hRule="atLeast" w:val="289"/>
        </w:trPr>
        <w:tc>
          <w:tcPr>
            <w:tcW w:w="819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atLeast" w:val="277"/>
        </w:trPr>
        <w:tc>
          <w:tcPr>
            <w:tcW w:w="819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ГОСУДАРСТВЕННОЕ ЗАДАНИЕ № 1</w:t>
            </w:r>
          </w:p>
        </w:tc>
      </w:tr>
      <w:tr>
        <w:trPr>
          <w:trHeight w:hRule="atLeast" w:val="279"/>
        </w:trPr>
        <w:tc>
          <w:tcPr>
            <w:tcW w:w="819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 2025 год и на плановый период 2026 и 2027 годов</w:t>
            </w:r>
          </w:p>
        </w:tc>
      </w:tr>
      <w:tr>
        <w:trPr>
          <w:trHeight w:hRule="atLeast" w:val="287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Коды</w:t>
            </w:r>
          </w:p>
        </w:tc>
      </w:tr>
      <w:tr>
        <w:trPr>
          <w:trHeight w:hRule="atLeast" w:val="287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Форма по ОКУД</w:t>
            </w:r>
          </w:p>
        </w:tc>
        <w:tc>
          <w:tcPr>
            <w:tcW w:w="14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0506001</w:t>
            </w:r>
          </w:p>
        </w:tc>
      </w:tr>
      <w:tr>
        <w:trPr>
          <w:trHeight w:hRule="atLeast" w:val="271"/>
        </w:trPr>
        <w:tc>
          <w:tcPr>
            <w:tcW w:w="81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Дата начала действия</w:t>
            </w:r>
          </w:p>
        </w:tc>
        <w:tc>
          <w:tcPr>
            <w:tcW w:w="14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25.11.2025</w:t>
            </w:r>
          </w:p>
        </w:tc>
      </w:tr>
      <w:tr>
        <w:trPr>
          <w:trHeight w:hRule="atLeast" w:val="271"/>
        </w:trPr>
        <w:tc>
          <w:tcPr>
            <w:tcW w:w="81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Дата окончания действия</w:t>
            </w:r>
          </w:p>
        </w:tc>
        <w:tc>
          <w:tcPr>
            <w:tcW w:w="14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</w:rPr>
            </w:pPr>
          </w:p>
        </w:tc>
      </w:tr>
      <w:tr>
        <w:trPr>
          <w:trHeight w:hRule="atLeast" w:val="301"/>
        </w:trPr>
        <w:tc>
          <w:tcPr>
            <w:tcW w:w="81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Наименование государственного учреждения (обособленного подразделения):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atLeast" w:val="271"/>
        </w:trPr>
        <w:tc>
          <w:tcPr>
            <w:tcW w:w="81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atLeast" w:val="213"/>
        </w:trPr>
        <w:tc>
          <w:tcPr>
            <w:tcW w:w="81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atLeast" w:val="305"/>
        </w:trPr>
        <w:tc>
          <w:tcPr>
            <w:tcW w:w="81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Виды деятельности государственного учреждения (обособленного подразделения):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atLeast" w:val="305"/>
        </w:trPr>
        <w:tc>
          <w:tcPr>
            <w:tcW w:w="81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Образование профессиональное среднее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 ОКВЭД</w:t>
            </w:r>
          </w:p>
        </w:tc>
        <w:tc>
          <w:tcPr>
            <w:tcW w:w="14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85.21</w:t>
            </w:r>
          </w:p>
        </w:tc>
      </w:tr>
    </w:tbl>
    <w:p>
      <w:pPr>
        <w:rPr>
          <w:rFonts w:ascii="Arial" w:hAnsi="Arial" w:cs="Arial"/>
        </w:rPr>
        <w:sectPr>
          <w:footerReference xmlns:r="http://schemas.openxmlformats.org/officeDocument/2006/relationships" w:type="default" r:id="RelFtr2"/>
          <w:type w:val="nextPage"/>
          <w:pgSz w:w="16901" w:h="11950" w:code="0" w:orient="landscape"/>
          <w:pgMar w:left="567" w:right="567" w:top="567" w:bottom="567" w:header="708" w:footer="708" w:gutter="0"/>
          <w:noEndnote/>
        </w:sectPr>
      </w:pPr>
    </w:p>
    <w:p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0" w:type="dxa"/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510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B0C4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B0C4DE"/>
              </w:rPr>
              <w:t>Часть 1. Сведения об оказываемых государственных услугах</w:t>
            </w: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852100О.99.0.БО83АФ44000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852100О.99.0.БО83АФ44000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852100О.99.0.БО83РС32000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15.01.37 Слесарь-наладчик контрольно-измерительных приборов и автоматики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852100О.99.0.БО83РС32000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15.01.37 Слесарь-наладчик контрольно-измерительных приборов и автоматики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3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852100О.99.0.БО83РУ48000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15.01.38 Оператор-наладчик металлообрабатывающих станков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852100О.99.0.БО83РУ48000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15.01.38 Оператор-наладчик металлообрабатывающих станков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62.00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91.00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91.00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91.00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91.00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4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852100О.99.0.БО84СЧ88000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43.02.17 Технологии индустрии красоты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852100О.99.0.БО84СЧ88000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43.02.17 Технологии индустрии красоты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32.00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33.00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33.00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5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852100О.99.0.БО84ЦЖ00000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852100О.99.0.БО84ЦЖ00000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156.00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158.00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158.00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6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852100О.99.0.БО84ЦН48000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27.02.06 Метрологический контроль средств измерений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852100О.99.0.БО84ЦН48000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27.02.06 Метрологический контроль средств измерений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7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852100О.99.0.БО84ЦЯ60000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852100О.99.0.БО84ЦЯ60000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8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852100О.99.0.БО84ЧГ92000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15.02.18 Техническая эксплуатация и обслуживание роботизированного производства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852100О.99.0.БО84ЧГ92000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15.02.18 Техническая эксплуатация и обслуживание роботизированного производства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98.00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9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852100О.99.0.БО84ЧЖ56000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Не указано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15.02.19 Сварочное производство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852100О.99.0.БО84ЧЖ56000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Не указано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15.02.19 Сварочное производство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42.00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42.00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42.00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10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852101О.99.0.ББ28АР12000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852101О.99.0.ББ28АР12000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34.00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852101О.99.0.ББ28БД40000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08.02.09 Монтаж, наладка и эксплуатация электрооборудования промышленных и гражданских зданий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852101О.99.0.ББ28БД40000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08.02.09 Монтаж, наладка и эксплуатация электрооборудования промышленных и гражданских зданий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57.00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12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852101О.99.0.ББ28ДЩ08000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852101О.99.0.ББ28ДЩ08000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60.00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60.00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60.00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13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852101О.99.0.ББ28ЛВ96000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22.02.06 Сварочное производство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852101О.99.0.ББ28ЛВ96000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22.02.06 Сварочное производство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14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852101О.99.0.ББ28СГ68000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Среднее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38.02.04 Коммерция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852101О.99.0.ББ28СГ68000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Среднее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38.02.04 Коммерция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15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852101О.99.0.ББ28ЦЭ44002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09.02.07 Информационные системы и программирование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852101О.99.0.ББ28ЦЭ44002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09.02.07 Информационные системы и программирование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227.00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230.00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230.00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230.00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230.00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16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852101О.99.0.ББ28ЧС88002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15.02.12 Монтаж, техническое обслуживание и ремонт промышленного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852101О.99.0.ББ28ЧС88002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15.02.12 Монтаж, техническое обслуживание и ремонт промышленного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194.00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199.00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199.00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199.00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199.00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17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852101О.99.0.ББ28ЧЦ20002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15.02.14 Оснащение средствами автоматизации технологических процессов и производств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852101О.99.0.ББ28ЧЦ20002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15.02.14 Оснащение средствами автоматизации технологических процессов и производств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158.00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158.00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18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852101О.99.0.ББ28ШЛ48002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27.02.06 Контроль работы измерительных приборов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852101О.99.0.ББ28ШЛ48002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27.02.06 Контроль работы измерительных приборов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19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852101О.99.0.ББ28ШН64002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27.02.07 Управление качеством продукции, процессов и услуг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852101О.99.0.ББ28ШН64002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27.02.07 Управление качеством продукции, процессов и услуг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143.00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145.00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145.00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20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852101О.99.0.ББ28ШЦ28002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43.02.13 Технология парикмахерского искусства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852101О.99.0.ББ28ШЦ28002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43.02.13 Технология парикмахерского искусства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19.00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852101О.99.0.ББ29ВГ04000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11.01.11 Наладчик технологического оборудования (электронная техника)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852101О.99.0.ББ29ВГ04000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11.01.11 Наладчик технологического оборудования (электронная техника)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36.00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22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852101О.99.0.ББ29ГЖ72000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852101О.99.0.ББ29ГЖ72000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97.00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97.00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97.00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97.00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23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852101О.99.0.ББ29ГЦ12000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852101О.99.0.ББ29ГЦ12000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256.00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256.00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256.00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256.00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256.00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24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852101О.99.0.ББ29СХ00002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15.01.31 Мастер контрольно-измерительных приборов и автоматики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852101О.99.0.ББ29СХ00002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15.01.31 Мастер контрольно-измерительных приборов и автоматики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32.00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33.00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33.00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25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852101О.99.0.ББ29СЭ76002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15.01.35 Мастер слесарных работ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852101О.99.0.ББ29СЭ76002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15.01.35 Мастер слесарных работ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164.00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167.00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167.00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167.00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167.00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26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852101О.99.0.ББ29СЯ20002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15.01.36 Дефектоскопист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852101О.99.0.ББ29СЯ20002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15.01.36 Дефектоскопист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66.00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27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417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852101О.99.0.ББ29ТГ52002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43.01.09 Повар, кондитер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852101О.99.0.ББ29ТГ52002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43.01.09 Повар, кондитер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87.00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88.00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88.00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41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>
      <w:pPr>
        <w:rPr>
          <w:rFonts w:ascii="Arial" w:hAnsi="Arial" w:cs="Arial"/>
        </w:rPr>
        <w:sectPr>
          <w:footerReference xmlns:r="http://schemas.openxmlformats.org/officeDocument/2006/relationships" w:type="default" r:id="RelFtr3"/>
          <w:type w:val="nextPage"/>
          <w:pgSz w:w="16901" w:h="11950" w:code="0" w:orient="landscape"/>
          <w:pgMar w:left="567" w:right="567" w:top="567" w:bottom="567" w:header="708" w:footer="708" w:gutter="0"/>
          <w:noEndnote/>
        </w:sectPr>
      </w:pPr>
    </w:p>
    <w:p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0" w:type="dxa"/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534"/>
        </w:trPr>
        <w:tc>
          <w:tcPr>
            <w:tcW w:w="6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0C4D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B0C4DE"/>
              </w:rPr>
              <w:t xml:space="preserve">Часть 3. Прочие сведения о государственном  задании</w:t>
            </w:r>
          </w:p>
        </w:tc>
      </w:tr>
      <w:tr>
        <w:trPr>
          <w:trHeight w:hRule="atLeast" w:val="283"/>
        </w:trPr>
        <w:tc>
          <w:tcPr>
            <w:tcW w:w="6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6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Финансовое обеспечение выполнения государственного задания, рублей: 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КБК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(852100О.99.0.БО83АФ44000)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8 730 576.00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8 730 576.00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8 730 576.00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(852100О.99.0.БО83РС32000)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2 067 768.00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2 067 768.00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2 067 768.00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(852100О.99.0.БО83РУ48000)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14 244 624.00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20 907 432.00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20 907 432.00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(852101О.99.0.ББ29ВГ04000)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8 271 072.00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8 500 824.00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8 500 824.00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(852101О.99.0.ББ29ГЖ72000)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21 826 440.00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22 285 944.00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22 285 944.00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(852101О.99.0.ББ29ГЦ12000)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58 816 512.00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58 816 512.00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58 816 512.00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(852101О.99.0.ББ29СХ00002)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7 352 064.00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7 581 816.00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7 581 816.00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(852101О.99.0.ББ29СЭ76002)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37 679 328.00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38 368 584.00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38 368 584.00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(852101О.99.0.ББ29СЯ20002)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15 163 632.00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10 568 592.00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10 568 592.00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(852101О.99.0.ББ29ТГ52002)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17 175 453.00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17 372 872.00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17 372 872.00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(852100О.99.0.БО84СЧ88000)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6 605 728.00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6 812 157.00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6 812 157.00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(852100О.99.0.БО84ЦЖ00000)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37 114 740.00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37 590 570.00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37 590 570.00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(852100О.99.0.БО84ЦН48000)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2 141 235.00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2 141 235.00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2 141 235.00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(852100О.99.0.БО84ЦЯ60000)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2 141 235.00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2 141 235.00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2 141 235.00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(852100О.99.0.БО84ЧГ92000)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23 315 670.00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23 791 500.00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23 791 500.00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(852100О.99.0.БО84ЧЖ56000)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9 992 430.00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9 992 430.00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9 992 430.00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(852101О.99.0.ББ28АР12000)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8 089 110.00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8 327 025.00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8 327 025.00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(852101О.99.0.ББ28БД40000)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13 561 155.00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13 799 070.00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13 799 070.00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(852101О.99.0.ББ28ДЩ08000)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14 274 900.00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14 274 900.00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14 274 900.00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(852101О.99.0.ББ28ЛВ96000)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13 799 070.00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13 799 070.00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13 799 070.00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(852101О.99.0.ББ28СГ68000)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412 858.00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412 858.00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412 858.00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(852101О.99.0.ББ28ЦЭ44002)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54 006 705.00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54 720 450.00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54 720 450.00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(852101О.99.0.ББ28ЧС88002)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46 155 510.00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47 345 085.00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47 345 085.00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(852101О.99.0.ББ28ЧЦ20002)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36 876 825.00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37 590 570.00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37 590 570.00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(852101О.99.0.ББ28ШЛ48002)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8 327 025.00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8 327 025.00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8 327 025.00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(852101О.99.0.ББ28ШН64002)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34 021 845.00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34 497 675.00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34 497 675.00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(852101О.99.0.ББ28ШЦ28002)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3 922 151.00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4 128 580.00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4 128 580.00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Затраты на уплату налогов, в качестве объекта налогообложения по которым признается имущество учреждения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3 283 067.32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3 282 557.00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3 282 557.00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X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Коэффициент выравнивания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0.47732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0.47178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0.47178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X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Объем субсидии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243 131 881.40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244 464 559.98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244 464 559.98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X</w:t>
            </w:r>
          </w:p>
        </w:tc>
      </w:tr>
      <w:tr>
        <w:trPr>
          <w:trHeight w:hRule="atLeast" w:val="288"/>
        </w:trPr>
        <w:tc>
          <w:tcPr>
            <w:tcW w:w="6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Основания для досрочного прекращения: </w:t>
            </w:r>
          </w:p>
        </w:tc>
      </w:tr>
      <w:tr>
        <w:trPr>
          <w:trHeight w:hRule="atLeast" w:val="288"/>
        </w:trPr>
        <w:tc>
          <w:tcPr>
            <w:tcW w:w="6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реорганизация Учреждения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ликвидация Учреждения</w:t>
            </w:r>
          </w:p>
        </w:tc>
      </w:tr>
      <w:tr>
        <w:trPr>
          <w:trHeight w:hRule="atLeast" w:val="288"/>
        </w:trPr>
        <w:tc>
          <w:tcPr>
            <w:tcW w:w="6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 Иная информация, необходимая для выполнения (контроля за выполнением) государственного задания:</w:t>
            </w:r>
          </w:p>
        </w:tc>
      </w:tr>
      <w:tr>
        <w:trPr>
          <w:trHeight w:hRule="atLeast" w:val="288"/>
        </w:trPr>
        <w:tc>
          <w:tcPr>
            <w:tcW w:w="6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4. Порядок контроля за выполнением государственного задания: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Форма контроля</w:t>
            </w:r>
          </w:p>
        </w:tc>
        <w:tc>
          <w:tcPr>
            <w:tcW w:w="1692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1692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Исполнительные органы власти, осуществляющие контроль за выполнением задания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hRule="atLeast" w:val="288"/>
        </w:trPr>
        <w:tc>
          <w:tcPr>
            <w:tcW w:w="64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Плановая проверка по месту нахождения Учреждения по документальному и фактическому изучению операций с использованием средств Субсидии, произведенных Учреждением</w:t>
            </w:r>
          </w:p>
        </w:tc>
        <w:tc>
          <w:tcPr>
            <w:tcW w:w="1692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сроки согласно плану, утвержденному Учредителем</w:t>
            </w:r>
          </w:p>
        </w:tc>
        <w:tc>
          <w:tcPr>
            <w:tcW w:w="1692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Орган, осуществляющий функции и полномочия учредителя Учреждения</w:t>
            </w:r>
          </w:p>
        </w:tc>
      </w:tr>
      <w:tr>
        <w:trPr>
          <w:trHeight w:hRule="atLeast" w:val="288"/>
        </w:trPr>
        <w:tc>
          <w:tcPr>
            <w:tcW w:w="6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Требование к отчетности о выполнении государственного задания:</w:t>
            </w:r>
          </w:p>
        </w:tc>
      </w:tr>
      <w:tr>
        <w:trPr>
          <w:trHeight w:hRule="atLeast" w:val="288"/>
        </w:trPr>
        <w:tc>
          <w:tcPr>
            <w:tcW w:w="6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Периодичность представления отчетов о выполнении государственного задания:</w:t>
            </w:r>
          </w:p>
        </w:tc>
      </w:tr>
      <w:tr>
        <w:trPr>
          <w:trHeight w:hRule="atLeast" w:val="288"/>
        </w:trPr>
        <w:tc>
          <w:tcPr>
            <w:tcW w:w="6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ежемесячно</w:t>
            </w:r>
          </w:p>
        </w:tc>
      </w:tr>
      <w:tr>
        <w:trPr>
          <w:trHeight w:hRule="atLeast" w:val="288"/>
        </w:trPr>
        <w:tc>
          <w:tcPr>
            <w:tcW w:w="6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Сроки представления отчетов о выполнении государственного задания:</w:t>
            </w:r>
          </w:p>
        </w:tc>
      </w:tr>
      <w:tr>
        <w:trPr>
          <w:trHeight w:hRule="atLeast" w:val="288"/>
        </w:trPr>
        <w:tc>
          <w:tcPr>
            <w:tcW w:w="6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не позднее 10 числа месяца, следующего за отчетным месяцем</w:t>
            </w:r>
          </w:p>
        </w:tc>
      </w:tr>
      <w:tr>
        <w:trPr>
          <w:trHeight w:hRule="atLeast" w:val="288"/>
        </w:trPr>
        <w:tc>
          <w:tcPr>
            <w:tcW w:w="6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5.3. Иные требования к отчетности о выполнении государственного задания:</w:t>
            </w:r>
          </w:p>
        </w:tc>
      </w:tr>
      <w:tr>
        <w:trPr>
          <w:trHeight w:hRule="atLeast" w:val="288"/>
        </w:trPr>
        <w:tc>
          <w:tcPr>
            <w:tcW w:w="6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6. Иные показатели, связанные с выполнением государственного задания:</w:t>
            </w:r>
          </w:p>
        </w:tc>
      </w:tr>
    </w:tbl>
    <w:p>
      <w:pPr>
        <w:rPr>
          <w:rFonts w:ascii="Arial" w:hAnsi="Arial" w:cs="Arial"/>
        </w:rPr>
      </w:pPr>
    </w:p>
    <w:sectPr>
      <w:footerReference xmlns:r="http://schemas.openxmlformats.org/officeDocument/2006/relationships" w:type="default" r:id="RelFtr4"/>
      <w:type w:val="nextPage"/>
      <w:pgSz w:w="16901" w:h="11950" w:code="0" w:orient="landscape"/>
      <w:pgMar w:left="567" w:right="567" w:top="567" w:bottom="567" w:header="708" w:footer="708" w:gutter="0"/>
      <w:noEndnote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rPr>
        <w:rFonts w:ascii="Arial" w:hAnsi="Arial" w:cs="Arial"/>
      </w:rPr>
    </w:pPr>
  </w:p>
  <w:p>
    <w:pPr>
      <w:framePr w:w="4535" w:h="239" w:hRule="atLeast" w:x="200"/>
      <w:rPr>
        <w:rFonts w:ascii="Arial" w:hAnsi="Arial" w:cs="Arial"/>
      </w:rPr>
    </w:pP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color w:val="000000"/>
        <w:sz w:val="20"/>
        <w:szCs w:val="20"/>
      </w:rPr>
      <w:t>#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hAnsi="Times New Roman" w:cs="Times New Roman"/>
        <w:color w:val="000000"/>
        <w:sz w:val="20"/>
        <w:szCs w:val="20"/>
      </w:rPr>
      <w:t xml:space="preserve"> из </w:t>
    </w: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color w:val="000000"/>
        <w:sz w:val="20"/>
        <w:szCs w:val="20"/>
      </w:rPr>
      <w:t>#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rPr>
        <w:rFonts w:ascii="Arial" w:hAnsi="Arial" w:cs="Arial"/>
      </w:rPr>
    </w:pPr>
  </w:p>
  <w:p>
    <w:pPr>
      <w:framePr w:w="4535" w:h="239" w:hRule="atLeast" w:x="200"/>
      <w:rPr>
        <w:rFonts w:ascii="Arial" w:hAnsi="Arial" w:cs="Arial"/>
      </w:rPr>
    </w:pP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color w:val="000000"/>
        <w:sz w:val="20"/>
        <w:szCs w:val="20"/>
      </w:rPr>
      <w:t>#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hAnsi="Times New Roman" w:cs="Times New Roman"/>
        <w:color w:val="000000"/>
        <w:sz w:val="20"/>
        <w:szCs w:val="20"/>
      </w:rPr>
      <w:t xml:space="preserve"> из </w:t>
    </w: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color w:val="000000"/>
        <w:sz w:val="20"/>
        <w:szCs w:val="20"/>
      </w:rPr>
      <w:t>#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rPr>
        <w:rFonts w:ascii="Arial" w:hAnsi="Arial" w:cs="Arial"/>
      </w:rPr>
    </w:pPr>
  </w:p>
  <w:p>
    <w:pPr>
      <w:framePr w:w="4535" w:h="239" w:hRule="atLeast" w:x="200"/>
      <w:rPr>
        <w:rFonts w:ascii="Arial" w:hAnsi="Arial" w:cs="Arial"/>
      </w:rPr>
    </w:pP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color w:val="000000"/>
        <w:sz w:val="20"/>
        <w:szCs w:val="20"/>
      </w:rPr>
      <w:t>#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hAnsi="Times New Roman" w:cs="Times New Roman"/>
        <w:color w:val="000000"/>
        <w:sz w:val="20"/>
        <w:szCs w:val="20"/>
      </w:rPr>
      <w:t xml:space="preserve"> из </w:t>
    </w: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color w:val="000000"/>
        <w:sz w:val="20"/>
        <w:szCs w:val="20"/>
      </w:rPr>
      <w:t>#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</w:p>
</w:ftr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rPr>
        <w:rFonts w:ascii="Arial" w:hAnsi="Arial" w:cs="Arial"/>
      </w:rPr>
    </w:pPr>
  </w:p>
  <w:p>
    <w:pPr>
      <w:framePr w:w="4535" w:h="239" w:hRule="atLeast" w:x="200"/>
      <w:rPr>
        <w:rFonts w:ascii="Arial" w:hAnsi="Arial" w:cs="Arial"/>
      </w:rPr>
    </w:pP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color w:val="000000"/>
        <w:sz w:val="20"/>
        <w:szCs w:val="20"/>
      </w:rPr>
      <w:t>#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hAnsi="Times New Roman" w:cs="Times New Roman"/>
        <w:color w:val="000000"/>
        <w:sz w:val="20"/>
        <w:szCs w:val="20"/>
      </w:rPr>
      <w:t xml:space="preserve"> из </w:t>
    </w: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color w:val="000000"/>
        <w:sz w:val="20"/>
        <w:szCs w:val="20"/>
      </w:rPr>
      <w:t>#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NotShadeFormData/>
  <w:defaultTabStop w:val="720"/>
  <w:autoHyphenation w:val="0"/>
  <w:evenAndOddHeaders w:val="0"/>
  <w:compat>
    <w:alignTablesRowByRow/>
    <w:doNotExpandShiftReturn/>
    <w:splitPgBreakAndParaMark/>
    <w:growAutofit/>
    <w:underlineTabInNumList/>
    <w:doNotBreakWrappedTables/>
    <w:doNotVertAlignCellWithSp/>
    <w:footnoteLayoutLikeWW8/>
    <w:shapeLayoutLikeWW8/>
    <w:balanceSingleByteDoubleByteWidth/>
    <w:useWord2002TableStyleRules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4"/>
        <w:szCs w:val="24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Ftr4" Type="http://schemas.openxmlformats.org/officeDocument/2006/relationships/footer" Target="footer4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er3.xml.rels>&#65279;<?xml version="1.0" encoding="utf-8"?><Relationships xmlns="http://schemas.openxmlformats.org/package/2006/relationships" />
</file>

<file path=word/_rels/footer4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API/21.2.5.0</Application>
  <AppVersion>21.2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ReportDesigner</dc:creator>
  <dcterms:created xsi:type="dcterms:W3CDTF">2025-11-27T12:06:33Z</dcterms:created>
  <cp:lastModifiedBy>hranweb/www-data</cp:lastModifiedBy>
  <dcterms:modified xsi:type="dcterms:W3CDTF">2025-11-27T12:06:42Z</dcterms:modified>
  <cp:revision>1</cp:revision>
</cp:coreProperties>
</file>