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4589"/>
        <w:gridCol w:w="6155"/>
      </w:tblGrid>
      <w:tr>
        <w:trPr>
          <w:trHeight w:hRule="atLeast" w:val="605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03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СОГЛАШЕНИЕ</w:t>
            </w:r>
          </w:p>
          <w:p w14:paraId="04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 предоставлении субсидии из областного бюджета</w:t>
            </w:r>
          </w:p>
          <w:p w14:paraId="0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государственному учреждению</w:t>
            </w:r>
          </w:p>
          <w:p w14:paraId="06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финансовое обеспечение выполнения государственного</w:t>
            </w:r>
          </w:p>
          <w:p w14:paraId="0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задания на оказание государственных услуг</w:t>
            </w:r>
          </w:p>
          <w:p w14:paraId="08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(выполнение работ)</w:t>
            </w:r>
          </w:p>
          <w:p w14:paraId="09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</w:p>
        </w:tc>
      </w:tr>
      <w:tr>
        <w:trPr>
          <w:trHeight w:hRule="atLeast" w:val="334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A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город Брянск</w:t>
            </w: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B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11.01.2023</w:t>
            </w:r>
          </w:p>
        </w:tc>
      </w:tr>
      <w:tr>
        <w:trPr>
          <w:trHeight w:hRule="atLeast" w:val="297"/>
          <w:tblHeader/>
        </w:trPr>
        <w:tc>
          <w:tcPr>
            <w:tcW w:type="dxa" w:w="4589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  <w:tc>
          <w:tcPr>
            <w:tcW w:type="dxa" w:w="6155"/>
            <w:tcMar>
              <w:left w:type="dxa" w:w="0"/>
              <w:right w:type="dxa" w:w="0"/>
            </w:tcMar>
            <w:vAlign w:val="top"/>
          </w:tcPr>
          <w:p w14:paraId="0D000000">
            <w:pPr>
              <w:spacing w:line="264" w:lineRule="auto"/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56</w:t>
            </w:r>
          </w:p>
        </w:tc>
      </w:tr>
      <w:tr>
        <w:trPr>
          <w:trHeight w:hRule="atLeast" w:val="295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504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F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департамент образования и науки Брянской области,</w:t>
            </w:r>
          </w:p>
        </w:tc>
      </w:tr>
      <w:tr>
        <w:trPr>
          <w:trHeight w:hRule="atLeast" w:val="281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0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исполнительного органа государственной власти,</w:t>
            </w:r>
          </w:p>
          <w:p w14:paraId="11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осуществляющего функции и полномочия учредителя в отношении</w:t>
            </w:r>
          </w:p>
          <w:p w14:paraId="12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государственного бюджетного или автономного учреждения)</w:t>
            </w:r>
          </w:p>
          <w:p w14:paraId="13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57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4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которому как получателю средств областного бюджета доведены лимиты бюджетных обязательств на предоставление субсидий государственным бюджетным и автономным учреждениям на финансовое обеспечение выполнения ими государственного задания на оказание государственных услуг (выполнение работ), именуемый в дальнейшем «Учредитель», в лице</w:t>
            </w:r>
          </w:p>
        </w:tc>
      </w:tr>
      <w:tr>
        <w:trPr>
          <w:trHeight w:hRule="atLeast" w:val="319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spacing w:line="264" w:lineRule="auto"/>
              <w:ind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врио по руководству департаментом Ширяева Виктора Михайловича,</w:t>
            </w:r>
          </w:p>
        </w:tc>
      </w:tr>
      <w:tr>
        <w:trPr>
          <w:trHeight w:hRule="atLeast" w:val="50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6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должности руководителя Учредителя</w:t>
            </w:r>
          </w:p>
          <w:p w14:paraId="1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уполномоченного им лица)</w:t>
            </w:r>
          </w:p>
          <w:p w14:paraId="18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440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действующего на основании Положения о департаменте образования и науки Брянской области, утвержденного Указом Губернатора Брянской области от 29.01.2013 года № 70 с одной стороны и</w:t>
            </w:r>
          </w:p>
        </w:tc>
      </w:tr>
      <w:tr>
        <w:trPr>
          <w:trHeight w:hRule="atLeast" w:val="378"/>
          <w:tblHeader/>
        </w:trPr>
        <w:tc>
          <w:tcPr>
            <w:tcW w:type="dxa" w:w="10744"/>
            <w:gridSpan w:val="2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B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(наименование государственного бюджетного</w:t>
            </w:r>
          </w:p>
          <w:p w14:paraId="1C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или автономного учреждения)</w:t>
            </w:r>
          </w:p>
          <w:p w14:paraId="1D000000">
            <w:pPr>
              <w:spacing w:line="264" w:lineRule="auto"/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hRule="atLeast" w:val="334"/>
          <w:tblHeader/>
        </w:trPr>
        <w:tc>
          <w:tcPr>
            <w:tcW w:type="dxa" w:w="10744"/>
            <w:gridSpan w:val="2"/>
            <w:tcMar>
              <w:left w:type="dxa" w:w="0"/>
              <w:right w:type="dxa" w:w="0"/>
            </w:tcMar>
            <w:vAlign w:val="top"/>
          </w:tcPr>
          <w:p w14:paraId="1E000000">
            <w:pPr>
              <w:spacing w:line="264" w:lineRule="auto"/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именуемое в дальнейшем «Учреждение», в лице директора Кравченко Сергея Михайловича, действующего на основании Устава, с другой стороны, далее именуемые «Стороны»,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 отношении государственных учреждений Брянской области и финансовом обеспечении выполнения государственного задания, утвержденным постановлением Правительства Брянской области от 28.08.2015 № 426-п (далее – Положение), заключили настоящее Соглашение о нижеследующем.</w:t>
            </w:r>
          </w:p>
        </w:tc>
      </w:tr>
    </w:tbl>
    <w:p w14:paraId="1F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7"/>
      </w:tblGrid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I. Предмет Соглашения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2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1.1. Предметом настоящего Соглашения является предоставление Учреждению из областного бюджета в 2023 - 2025 годах субсидии на финансовое обеспечение выполнения государственного задания на оказание государственных услуг (выполнение работ) № 56 от "11" января 2023 года (далее – Субсидия, государственное задание).</w:t>
            </w:r>
          </w:p>
        </w:tc>
      </w:tr>
    </w:tbl>
    <w:p w14:paraId="23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7"/>
      </w:tblGrid>
      <w:tr>
        <w:trPr>
          <w:trHeight w:hRule="atLeast" w:val="275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5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II. Порядок, условия предоставления Субсидии и финансовое обеспечение выполнения государственного задания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6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2.1. Субсидия предоставляется Учреждению на оказание государственных услуг (выполнение работ), установленных в государственном задании (приложение № 1 к соглашению).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7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2.2. Субсидия предоставляется в пределах лимитов бюджетных обязательств, доведенных Учредителю как получателю средств областного бюджета по кодам бюджетной классификации расходов (далее – коды БК), в следующем размере: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2023 году 218 366 116 (Двести восемнадцать миллионов триста шестьдесят шесть тысяч сто шестнадцать) рублей 00 копеек по коду БК: 816.0704.1640310650.621.7001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2024 году 218 366 116 (Двести восемнадцать миллионов триста шестьдесят шесть тысяч сто шестнадцать) рублей 00 копеек по коду БК: 816.0704.1640310650.621.7001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 2025 году 218 366 116 (Двести восемнадцать миллионов триста шестьдесят шесть тысяч сто шестнадцать) рублей 00 копеек по коду БК: 816.0704.1640310650.621.7001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2B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2.3. Размер Субсидии рассчитывается в соответствии с показателями государственного задания на основании нормативных затрат на оказание государственных услуг с применением базовых нормативов затрат и корректирующих коэффициентов к базовым нормативам затрат (нормативных затрат на выполнение работ), определенных в соответствии с Положением.</w:t>
            </w:r>
          </w:p>
        </w:tc>
      </w:tr>
    </w:tbl>
    <w:p w14:paraId="2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12"/>
      </w:tblGrid>
      <w:tr>
        <w:trPr>
          <w:trHeight w:hRule="atLeast" w:val="288"/>
        </w:trPr>
        <w:tc>
          <w:tcPr>
            <w:tcW w:type="dxa" w:w="10712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712"/>
            <w:tcMar>
              <w:left w:type="dxa" w:w="0"/>
              <w:right w:type="dxa" w:w="0"/>
            </w:tcMar>
            <w:vAlign w:val="top"/>
          </w:tcPr>
          <w:p w14:paraId="2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III. Порядок перечисления Субсидии</w:t>
            </w:r>
          </w:p>
        </w:tc>
      </w:tr>
      <w:tr>
        <w:trPr>
          <w:trHeight w:hRule="atLeast" w:val="288"/>
        </w:trPr>
        <w:tc>
          <w:tcPr>
            <w:tcW w:type="dxa" w:w="10712"/>
            <w:tcMar>
              <w:left w:type="dxa" w:w="0"/>
              <w:right w:type="dxa" w:w="0"/>
            </w:tcMar>
            <w:vAlign w:val="top"/>
          </w:tcPr>
          <w:p w14:paraId="2F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3.1. Перечисление Субсидии осуществляется в соответствии с Положением на лицевой счет, открытый Учреждению в департаменте финансов Брянской области.</w:t>
            </w:r>
          </w:p>
        </w:tc>
      </w:tr>
    </w:tbl>
    <w:p w14:paraId="30000000">
      <w:pPr>
        <w:rPr>
          <w:rFonts w:ascii="Arial" w:hAnsi="Arial"/>
        </w:rPr>
      </w:pPr>
    </w:p>
    <w:p w14:paraId="31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7"/>
      </w:tblGrid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IV. Взаимодействие Сторон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4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 Учредитель обязуется: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5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4.1.1. обеспечить предоставление Субсидии в соответствии с разделом II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6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4.1.2. размещать на официальном сайте Учредителя в информационно-телекоммуникационной сети «Интернет» информацию о нормативных затратах, на основании которых рассчитан размер Субсидии, указанный в пункте 2.2 настоящего Соглашения, не позднее 10 рабочих дней после утверждения нормативных затрат (внесения в них изменений);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8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4.1.4. 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9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4.1.5. 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5 рабочих дней после получения предложений;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A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4.1.5.(1) вносить изменения в показатели, характеризующие объем государственных услуг (работ), установленные в государственном задании, на основании данных предварительного отчета о выполнении государственного задания в текущем финансовом году, представленного Учреждением в соответствии с пунктом 4.3.4.1 настоящего Соглашения, в течение 5 дней со дня его представления Учреждением, в случае если на основании данных предварительного отчета о выполнении государственного задания необходимо уменьшить показатели, характеризующие объем государственных услуг (работ), установленные в государственном задании;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B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4.1.6. направлять Учреждению расчет средств Субсидии, подлежащих возврату в областной бюджет на 1 января 2024 г., составленный по форме согласно приложению № 3 к настоящему Соглашению, являющемуся неотъемлемой частью настоящего Соглашения, в срок до "20" января 2024 г.;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C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4.1.7. принимать меры, обеспечивающие перечисление Учреждением Учредителю в областной бюджет средств Субсидии, подлежащих возврату в областной бюджет на 1 января 2024 г., в соответствии с расчетом, указанным в пункте 4.1.6 настоящего Соглашения, в срок, указанный в пункте 4.3.2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D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4.1.8. выполнять иные обязательства, установленные бюджетным законодательством Российской Федерации, Положением и настоящим Соглашением.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E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 Учредитель вправе: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3F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4.2.1. запрашивать у Учреждения информацию и документы, необходимые для осуществления контроля за выполнением Учреждением государственного задания;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0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4.2.2. принимать решение об изменении размера Субсидии: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1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4.2.2.1. при соответствующем изменении показателей, характеризующих объем государственных услуг (работ), установленных в государственном задании, в случае: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2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4.2.2.1.1. уменьшения Учредителю ранее утвержденных лимитов бюджетных обязательств, указанных в пункте 2.2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4.2.2.1.2. увеличения (при наличии у Учредителя лимитов бюджетных обязательств, указанных в пункте 2.2 настоящего Соглашения) или уменьшения потребности в оказании государственных услуг (выполнении работ);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4.2.2.1.3. принятия решения по результатам рассмотрения предложений Учреждения, направленных в соответствии с пунктом 4.4.2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4.2.2.2. без соответствующего изменения показателей, характеризующих объем государственных услуг (работ), установленных в государственном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государственной услуги (выполнением работы), иных затрат, связанных с оказанием государственной услуги (выполнением работы), приводящих к изменению объема финансового обеспечения выполнения государственного задания.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6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4.2.3. осуществлять иные права, установленные бюджетным законодательством Российской Федерации, Положением и настоящим Соглашением.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 Учреждение обязуется: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8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4.3.1. предоставлять в течение 5 дней по запросу Учредителя информацию и документы, необходимые для осуществления контроля, предусмотренного пунктом 4.1.4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9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4.3.2. осуществлять в срок до "25" января 2024 г. возврат средств Субсидии, подлежащих возврату в областной бюджет на 1 января 2024 г., в размере, указанном в расчете, представленном Учредителем в соответствии с пунктом 4.1.6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A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4.3.3. направлять средства Субсидии на выплаты, установленные планом финансово-хозяйственной деятельности Учреждения (далее – план финансово-хозяйственной деятельности), сформированным и утвержденным в порядке, определенном №1449 от 30.12.2020г.;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B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4.3.4. представлять Учредителю в соответствии с Положением: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C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4.3.4.1 предварительный отчет о выполнении государственного задания, составленный по форме, предусмотренной для отчета о выполнении государственного задания, в срок до «25» декабря 2023 г.;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D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4.3.4.2 отчет о выполнении государственного задания по форме, согласно приложению № 2 к Положению, в сроки, установленные государственным заданием.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E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4.3.5. выполнять иные обязательства, установленные бюджетным законодательством Российской Федерации, Положением и настоящим Соглашением.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4F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4.4. Учреждение вправе: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0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4.4.1. направлять не использованный в 2023 году остаток Субсидии на осуществление в 2024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областной бюджет в соответствии с пунктом 4.3.2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1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4.4.2. направлять Учредителю предложения по исполнению настоящего Соглашения, в том числе по изменению размера Субсидии;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2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4.4.3. обращаться к Учредителю в целях получения разъяснений в связи с исполнением настоящего Соглашения;</w:t>
            </w:r>
          </w:p>
        </w:tc>
      </w:tr>
      <w:tr>
        <w:trPr>
          <w:trHeight w:hRule="atLeast" w:val="416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3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4.4.4. осуществлять иные права, установленные бюджетным законодательством Российской Федерации, Положением и настоящим Соглашением:</w:t>
            </w:r>
          </w:p>
        </w:tc>
      </w:tr>
    </w:tbl>
    <w:p w14:paraId="54000000">
      <w:pPr>
        <w:rPr>
          <w:rFonts w:ascii="Arial" w:hAnsi="Arial"/>
        </w:rPr>
      </w:pPr>
    </w:p>
    <w:p w14:paraId="55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7"/>
      </w:tblGrid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7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V. Ответственность Сторон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8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      </w: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9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5.2. Иные положения об ответственности за неисполнение или ненадлежащее исполнение Сторонами обязательств по настоящему Соглашению: отсутствуют.</w:t>
            </w:r>
          </w:p>
        </w:tc>
      </w:tr>
    </w:tbl>
    <w:p w14:paraId="5A000000">
      <w:pPr>
        <w:rPr>
          <w:rFonts w:ascii="Arial" w:hAnsi="Arial"/>
        </w:rPr>
      </w:pPr>
    </w:p>
    <w:p w14:paraId="5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7"/>
      </w:tblGrid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VI. Иные условия</w:t>
            </w:r>
          </w:p>
        </w:tc>
      </w:tr>
      <w:tr>
        <w:trPr>
          <w:trHeight w:hRule="atLeast" w:val="27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5E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6.1. Иные условия по настоящему Соглашению: отсутствуют.</w:t>
            </w:r>
          </w:p>
        </w:tc>
      </w:tr>
    </w:tbl>
    <w:p w14:paraId="5F000000">
      <w:pPr>
        <w:rPr>
          <w:rFonts w:ascii="Arial" w:hAnsi="Arial"/>
        </w:rPr>
      </w:pPr>
    </w:p>
    <w:p w14:paraId="6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0727"/>
      </w:tblGrid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VII. Заключительные положения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3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7.1. Расторжение Соглашения осуществляется по соглашению сторон и оформляется в виде дополнительного соглашения о расторжении настоящего Соглашения, за исключением расторжения Соглашения в односторонне порядке, предусмотренного пунктом 7.2 настоящего Соглашения.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4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7.2. Расторжение настоящего Соглашения Учредителем в одностороннем порядке возможно в случаях: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5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7.2.1. прекращения деятельности Учреждения при реорганизации или ликвидации;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6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7.2.2. нарушения Учреждением условий предоставления субсидии, предусмотренных настоящим Соглашением;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7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7.2.3. иные случаи досрочного расторжения соглашения в одностороннем порядке:  отсутствуют.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8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7.3.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подлежат перечислению Учреждением в областной бюджет в установленном порядке.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9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A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B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7.6.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      </w:r>
          </w:p>
        </w:tc>
      </w:tr>
      <w:tr>
        <w:trPr>
          <w:trHeight w:hRule="atLeast" w:val="303"/>
        </w:trPr>
        <w:tc>
          <w:tcPr>
            <w:tcW w:type="dxa" w:w="10727"/>
            <w:tcMar>
              <w:left w:type="dxa" w:w="0"/>
              <w:right w:type="dxa" w:w="0"/>
            </w:tcMar>
            <w:vAlign w:val="top"/>
          </w:tcPr>
          <w:p w14:paraId="6C000000">
            <w:pPr>
              <w:spacing w:line="264" w:lineRule="auto"/>
              <w:ind w:firstLine="568" w:left="0"/>
              <w:jc w:val="both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7.7. Настоящее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      </w:r>
          </w:p>
        </w:tc>
      </w:tr>
    </w:tbl>
    <w:p w14:paraId="6D000000">
      <w:pPr>
        <w:rPr>
          <w:rFonts w:ascii="Arial" w:hAnsi="Arial"/>
        </w:rPr>
      </w:pPr>
    </w:p>
    <w:p w14:paraId="6E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10726"/>
            <w:gridSpan w:val="2"/>
            <w:tcMar>
              <w:left w:type="dxa" w:w="0"/>
              <w:right w:type="dxa" w:w="0"/>
            </w:tcMar>
            <w:vAlign w:val="top"/>
          </w:tcPr>
          <w:p w14:paraId="6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VIII. Платежные реквизиты Сторон</w:t>
            </w:r>
          </w:p>
        </w:tc>
      </w:tr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7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7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315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  <w:p w14:paraId="75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1053244053675</w:t>
            </w:r>
          </w:p>
          <w:p w14:paraId="7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7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  <w:p w14:paraId="78000000">
            <w:pPr>
              <w:spacing w:line="264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ОГРН: 1023201102572</w:t>
            </w:r>
          </w:p>
          <w:p w14:paraId="79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ОКТМО: 15701000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241050, г.Брянск, ул.Бежицкая, 34а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241035, г.Брянск, ул.Академика Королева, д.7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3250058714 / КПП 325701001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ИНН 3233004155 / КПП 325701001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(департамент образования и науки Брянской области, л/с 03816003610) номер счета плательщика 03221643150000002700 ЕКС 40102810245370000019 БИК 011501101 ОТДЕЛЕНИЕ БРЯНСК БАНКА РОССИИ//УФК по Брянской области г.Брянск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Департамент финансов Брянской области (ГАПОУ  БТЭиР имени Героя Советского Союза М.А.Афанасьева, л/с 30816Р10720 ) номер счета получателя 03224643150000002701 ЕКС 40102810245370000019 БИК 011501101 ОТДЕЛЕНИЕ БРЯНСК БАНКА РОССИИ//УФК по Брянской области г.Брянск</w:t>
            </w:r>
          </w:p>
        </w:tc>
      </w:tr>
      <w:tr>
        <w:trPr>
          <w:trHeight w:hRule="atLeast" w:val="1362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81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8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8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85000000">
            <w:pPr>
              <w:rPr>
                <w:rFonts w:ascii="Arial" w:hAnsi="Arial"/>
                <w:sz w:val="2"/>
              </w:rPr>
            </w:pPr>
          </w:p>
        </w:tc>
      </w:tr>
    </w:tbl>
    <w:p w14:paraId="86000000">
      <w:pPr>
        <w:rPr>
          <w:rFonts w:ascii="Arial" w:hAnsi="Arial"/>
        </w:rPr>
      </w:pPr>
    </w:p>
    <w:p w14:paraId="87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88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89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8A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line number"/>
    <w:basedOn w:val="Style_8"/>
    <w:link w:val="Style_10_ch"/>
    <w:rPr>
      <w:rFonts w:asciiTheme="minorAscii" w:hAnsiTheme="minorHAnsi"/>
      <w:sz w:val="24"/>
    </w:rPr>
  </w:style>
  <w:style w:styleId="Style_10_ch" w:type="character">
    <w:name w:val="line number"/>
    <w:basedOn w:val="Style_8_ch"/>
    <w:link w:val="Style_10"/>
    <w:rPr>
      <w:rFonts w:asciiTheme="minorAscii" w:hAnsiTheme="minorHAnsi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2023-01-13T10:04:06Z</dcterms:modified>
</cp:coreProperties>
</file>