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1"/>
        <w:gridCol w:w="46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СОГЛАШЕНИЕ</w:t>
            </w:r>
          </w:p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областного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учреждению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соответствии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абзацем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вторым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пункта</w:t>
            </w:r>
            <w:r>
              <w:rPr>
                <w:b/>
                <w:bCs/>
                <w:color w:val="000000"/>
              </w:rPr>
              <w:t xml:space="preserve"> 1 </w:t>
            </w:r>
            <w:r>
              <w:rPr>
                <w:b/>
                <w:bCs/>
                <w:color w:val="000000"/>
              </w:rPr>
              <w:t>статьи</w:t>
            </w:r>
            <w:r>
              <w:rPr>
                <w:b/>
                <w:bCs/>
                <w:color w:val="000000"/>
              </w:rPr>
              <w:t xml:space="preserve"> 78.1 </w:t>
            </w:r>
            <w:r>
              <w:rPr>
                <w:b/>
                <w:bCs/>
                <w:color w:val="000000"/>
              </w:rPr>
              <w:t>Бюджетного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кодекса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Российской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t>город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02.04.2021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Департамент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науки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Брянской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</w:t>
            </w:r>
            <w:r>
              <w:rPr>
                <w:color w:val="000000"/>
                <w:sz w:val="20"/>
                <w:szCs w:val="20"/>
              </w:rPr>
              <w:t>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00000" w:rsidRDefault="00053954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осуществляющего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</w:p>
          <w:p w:rsidR="00000000" w:rsidRDefault="00053954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которому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бзацем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статьи</w:t>
            </w:r>
            <w:r>
              <w:rPr>
                <w:color w:val="000000"/>
              </w:rPr>
              <w:t xml:space="preserve"> 78.1 </w:t>
            </w:r>
            <w:r>
              <w:rPr>
                <w:color w:val="000000"/>
              </w:rPr>
              <w:t>Бюджетного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именуемый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 xml:space="preserve">",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директор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департамента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науки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Брянской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области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</w:p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Егоровой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Елены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Валерьевны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имя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наличии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</w:p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утвержденного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Губернатора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29.01.2013 </w:t>
            </w:r>
            <w:r>
              <w:rPr>
                <w:color w:val="000000"/>
              </w:rPr>
              <w:t>года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положение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доверенность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удостоверяющий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профессиональное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</w:t>
            </w:r>
            <w:r>
              <w:rPr>
                <w:b/>
                <w:bCs/>
                <w:color w:val="000000"/>
              </w:rPr>
              <w:t>ие</w:t>
            </w:r>
            <w:r>
              <w:rPr>
                <w:b/>
                <w:bCs/>
                <w:color w:val="000000"/>
              </w:rPr>
              <w:t xml:space="preserve"> "</w:t>
            </w:r>
            <w:r>
              <w:rPr>
                <w:b/>
                <w:bCs/>
                <w:color w:val="000000"/>
              </w:rPr>
              <w:t>Брянский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техникум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энергомашиностроения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радиоэлектроники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имени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Героя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Советского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Союза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Афанасьева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именуемое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«Учреждение»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директор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</w:t>
            </w:r>
            <w:r>
              <w:rPr>
                <w:color w:val="000000"/>
                <w:sz w:val="20"/>
                <w:szCs w:val="20"/>
              </w:rPr>
              <w:t>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имя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наличии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053954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устав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</w:t>
            </w:r>
            <w:r>
              <w:rPr>
                <w:color w:val="000000"/>
                <w:sz w:val="20"/>
                <w:szCs w:val="20"/>
              </w:rPr>
              <w:t>мочивающий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другой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именуемые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«Стороны»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Приказом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утверждении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определения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</w:t>
            </w:r>
            <w:r>
              <w:rPr>
                <w:color w:val="000000"/>
              </w:rPr>
              <w:t>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подведомственным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27.11.2020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1249/1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Borders>
              <w:top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реквизиты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нормативного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правового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акта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</w:t>
            </w:r>
            <w:r>
              <w:rPr>
                <w:color w:val="000000"/>
                <w:sz w:val="20"/>
                <w:szCs w:val="20"/>
              </w:rPr>
              <w:t>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утверждении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порядка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определения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которых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</w:t>
            </w:r>
            <w:r>
              <w:rPr>
                <w:color w:val="000000"/>
                <w:sz w:val="20"/>
                <w:szCs w:val="20"/>
              </w:rPr>
              <w:t>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осуществляет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субсидий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соответствии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абзацем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вторым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пункта</w:t>
            </w:r>
            <w:r>
              <w:rPr>
                <w:color w:val="000000"/>
                <w:sz w:val="20"/>
                <w:szCs w:val="20"/>
              </w:rPr>
              <w:t xml:space="preserve"> 1 </w:t>
            </w:r>
            <w:r>
              <w:rPr>
                <w:color w:val="000000"/>
                <w:sz w:val="20"/>
                <w:szCs w:val="20"/>
              </w:rPr>
              <w:t>статьи</w:t>
            </w:r>
            <w:r>
              <w:rPr>
                <w:color w:val="000000"/>
                <w:sz w:val="20"/>
                <w:szCs w:val="20"/>
              </w:rPr>
              <w:t xml:space="preserve"> 78.1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кодекса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Российской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Федерации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заключили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нижеследующем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05395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2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I.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Предмет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1.1. </w:t>
            </w:r>
            <w:r>
              <w:rPr>
                <w:color w:val="000000"/>
              </w:rPr>
              <w:t>Предметом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абзацем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статьи</w:t>
            </w:r>
            <w:r>
              <w:rPr>
                <w:color w:val="000000"/>
              </w:rPr>
              <w:t xml:space="preserve"> 78.1 </w:t>
            </w:r>
            <w:r>
              <w:rPr>
                <w:color w:val="000000"/>
              </w:rPr>
              <w:t>Бюджетного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участия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</w:t>
            </w:r>
            <w:r>
              <w:rPr>
                <w:color w:val="000000"/>
              </w:rPr>
              <w:t>оведение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выставок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конкурсов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слетов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финалов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конференций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первенств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олимпиад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соревнований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фестивалей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различным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направлениям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аналитическому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7052.</w:t>
            </w:r>
          </w:p>
        </w:tc>
      </w:tr>
    </w:tbl>
    <w:p w:rsidR="00000000" w:rsidRDefault="00053954">
      <w:pPr>
        <w:rPr>
          <w:rFonts w:ascii="Arial" w:hAnsi="Arial" w:cs="Arial"/>
        </w:rPr>
      </w:pPr>
    </w:p>
    <w:p w:rsidR="00000000" w:rsidRDefault="0005395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II.  </w:t>
            </w:r>
            <w:r>
              <w:rPr>
                <w:color w:val="000000"/>
              </w:rPr>
              <w:t>Условия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2.1.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2.2.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размере</w:t>
            </w:r>
            <w:r>
              <w:rPr>
                <w:color w:val="000000"/>
              </w:rPr>
              <w:t xml:space="preserve"> 1 750 000 (</w:t>
            </w:r>
            <w:r>
              <w:rPr>
                <w:color w:val="000000"/>
              </w:rPr>
              <w:t>Один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</w:t>
            </w:r>
            <w:r>
              <w:rPr>
                <w:color w:val="000000"/>
              </w:rPr>
              <w:t>ллион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семьсот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пятьдесят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тысяч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копеек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расходов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коды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БК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размере</w:t>
            </w:r>
            <w:r>
              <w:rPr>
                <w:color w:val="000000"/>
              </w:rPr>
              <w:t>:</w:t>
            </w:r>
          </w:p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1 750 000 (</w:t>
            </w:r>
            <w:r>
              <w:rPr>
                <w:color w:val="000000"/>
              </w:rPr>
              <w:t>Один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миллион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семьсот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пятьдесят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тысяч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копеек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БК</w:t>
            </w:r>
            <w:r>
              <w:rPr>
                <w:color w:val="000000"/>
              </w:rPr>
              <w:t>: 816 0704 16003 10650 622</w:t>
            </w:r>
            <w:r>
              <w:rPr>
                <w:color w:val="000000"/>
              </w:rPr>
              <w:t xml:space="preserve"> (7052).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2.3. </w:t>
            </w:r>
            <w:r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рассчитывается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05395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III. </w:t>
            </w:r>
            <w:r>
              <w:rPr>
                <w:color w:val="000000"/>
              </w:rPr>
              <w:t>Порядок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Перечисление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откры</w:t>
            </w:r>
            <w:r>
              <w:rPr>
                <w:color w:val="000000"/>
              </w:rPr>
              <w:t>тый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графику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05395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IV. </w:t>
            </w:r>
            <w:r>
              <w:rPr>
                <w:color w:val="000000"/>
              </w:rPr>
              <w:t>Взаимодействие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 </w:t>
            </w: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бязуется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4.1.1. </w:t>
            </w:r>
            <w:r>
              <w:rPr>
                <w:color w:val="000000"/>
              </w:rPr>
              <w:t>обеспечивать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4.1.2. </w:t>
            </w:r>
            <w:r>
              <w:rPr>
                <w:color w:val="000000"/>
              </w:rPr>
              <w:t>обеспечивать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разделе</w:t>
            </w:r>
            <w:r>
              <w:rPr>
                <w:color w:val="000000"/>
              </w:rPr>
              <w:t xml:space="preserve"> VII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графику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4.1.3. </w:t>
            </w:r>
            <w:r>
              <w:rPr>
                <w:color w:val="000000"/>
              </w:rPr>
              <w:t>устанавливать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2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</w:t>
            </w:r>
            <w:r>
              <w:rPr>
                <w:color w:val="000000"/>
              </w:rPr>
              <w:t>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4.1.4. </w:t>
            </w:r>
            <w:r>
              <w:rPr>
                <w:color w:val="000000"/>
              </w:rPr>
              <w:t>осуществлять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также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оценку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</w:t>
            </w:r>
            <w:r>
              <w:rPr>
                <w:color w:val="000000"/>
              </w:rPr>
              <w:t>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путем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мероприятий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4.1.4.1. </w:t>
            </w:r>
            <w:r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плановых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внеплановых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проверок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4.1.4.1.1.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нахождения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представленных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запросу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</w:t>
            </w:r>
            <w:r>
              <w:rPr>
                <w:color w:val="000000"/>
              </w:rPr>
              <w:t>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4.3.3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4.1.4.1.2.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нахождения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изучению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операций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4.1.4.2. </w:t>
            </w:r>
            <w:r>
              <w:rPr>
                <w:color w:val="000000"/>
              </w:rPr>
              <w:t>приостановление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итогам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проверки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ок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4.1.4.1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факта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нарушений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определенных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уполномоченного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устранения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уведомлением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принятия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приостановлении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4.1.4.3. </w:t>
            </w:r>
            <w:r>
              <w:rPr>
                <w:color w:val="000000"/>
              </w:rPr>
              <w:t>направление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неустранения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4.1.4.1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сроки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4.1.5. </w:t>
            </w:r>
            <w:r>
              <w:rPr>
                <w:color w:val="000000"/>
              </w:rPr>
              <w:t>рассматривать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предложения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иную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направленную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течение</w:t>
            </w:r>
            <w:r>
              <w:rPr>
                <w:color w:val="000000"/>
              </w:rPr>
              <w:t xml:space="preserve"> 15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уведомлять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принято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необходимости</w:t>
            </w:r>
            <w:r>
              <w:rPr>
                <w:color w:val="000000"/>
              </w:rP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4.1.6.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разъяснения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связанным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5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обращения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4.4.4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4.1.</w:t>
            </w:r>
            <w:r>
              <w:rPr>
                <w:color w:val="000000"/>
              </w:rPr>
              <w:t xml:space="preserve">7. </w:t>
            </w:r>
            <w:r>
              <w:rPr>
                <w:color w:val="000000"/>
              </w:rPr>
              <w:t>утверждать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операциях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целевыми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операциях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целевыми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субсидиями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. 0501016) ,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</w:t>
            </w:r>
            <w:r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4.3.11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 </w:t>
            </w: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вправе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4.2.1. </w:t>
            </w:r>
            <w:r>
              <w:rPr>
                <w:color w:val="000000"/>
              </w:rPr>
              <w:t>запрашивать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необходимые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</w:t>
            </w:r>
            <w:r>
              <w:rPr>
                <w:color w:val="000000"/>
              </w:rPr>
              <w:t>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4.1.4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4.2.2. </w:t>
            </w:r>
            <w:r>
              <w:rPr>
                <w:color w:val="000000"/>
              </w:rPr>
              <w:t>принимать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предложений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направленных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4.4.2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включая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уменьшение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также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увеличение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неиспользованных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содержащей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экономическое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4.2.3. </w:t>
            </w:r>
            <w:r>
              <w:rPr>
                <w:color w:val="000000"/>
              </w:rPr>
              <w:t>принимать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установленном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законодательством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Федерации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4.2.3.1.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10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обосновывающих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4.2.3.1.1. </w:t>
            </w:r>
            <w:r>
              <w:rPr>
                <w:color w:val="000000"/>
              </w:rPr>
              <w:t>расчет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4.2.3.2.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>ступлений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30-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текущем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обязуется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4.3.1. </w:t>
            </w:r>
            <w:r>
              <w:rPr>
                <w:color w:val="000000"/>
              </w:rPr>
              <w:t>использовать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</w:t>
            </w:r>
            <w:r>
              <w:rPr>
                <w:color w:val="000000"/>
              </w:rPr>
              <w:t>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4.3.2. </w:t>
            </w:r>
            <w:r>
              <w:rPr>
                <w:color w:val="000000"/>
              </w:rPr>
              <w:t>обеспечить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сроков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устанавливаемых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4.1.3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4.3.3.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запросу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необходимые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4.2.1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</w:t>
            </w:r>
            <w:r>
              <w:rPr>
                <w:color w:val="000000"/>
              </w:rPr>
              <w:t>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запроса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4.3.4.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7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следующих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отчетным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кварталом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была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4.3.4.1. </w:t>
            </w:r>
            <w:r>
              <w:rPr>
                <w:color w:val="000000"/>
              </w:rPr>
              <w:t>отчет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расходах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</w:t>
            </w:r>
            <w:r>
              <w:rPr>
                <w:color w:val="000000"/>
              </w:rPr>
              <w:t>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4.3.4.2. </w:t>
            </w:r>
            <w:r>
              <w:rPr>
                <w:color w:val="000000"/>
              </w:rPr>
              <w:t>отчет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4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</w:t>
            </w:r>
            <w:r>
              <w:rPr>
                <w:color w:val="000000"/>
              </w:rPr>
              <w:t>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4.3.5. </w:t>
            </w:r>
            <w:r>
              <w:rPr>
                <w:color w:val="000000"/>
              </w:rPr>
              <w:t>устранять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выявленный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итогам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проверки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проведенной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факт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нарушения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определенных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получе</w:t>
            </w:r>
            <w:r>
              <w:rPr>
                <w:color w:val="000000"/>
              </w:rPr>
              <w:t>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включая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течение</w:t>
            </w:r>
            <w:r>
              <w:rPr>
                <w:color w:val="000000"/>
              </w:rPr>
              <w:t xml:space="preserve"> 5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устранении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4.3.6. </w:t>
            </w:r>
            <w:r>
              <w:rPr>
                <w:color w:val="000000"/>
              </w:rPr>
              <w:t>возвращать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доход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</w:t>
            </w:r>
            <w:r>
              <w:rPr>
                <w:color w:val="000000"/>
              </w:rPr>
              <w:t>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15 </w:t>
            </w:r>
            <w:r>
              <w:rPr>
                <w:color w:val="000000"/>
              </w:rPr>
              <w:t>марта</w:t>
            </w:r>
            <w:r>
              <w:rPr>
                <w:color w:val="000000"/>
              </w:rPr>
              <w:t xml:space="preserve">.2022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4.3.7. </w:t>
            </w:r>
            <w:r>
              <w:rPr>
                <w:color w:val="000000"/>
              </w:rPr>
              <w:t>возвращать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</w:t>
            </w:r>
            <w:r>
              <w:rPr>
                <w:color w:val="000000"/>
              </w:rPr>
              <w:t>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доход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45-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текущем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4.3.8.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</w:t>
            </w:r>
            <w:r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Электронный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утверждение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4.3.8.1.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4.3.8.2.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принятом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вправе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4.4.1.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4.2.3.1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4.4.2.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</w:t>
            </w:r>
            <w:r>
              <w:rPr>
                <w:color w:val="000000"/>
              </w:rPr>
              <w:t>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выявления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необходимости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содержащей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экономическое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4.4.3.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</w:t>
            </w:r>
            <w:r>
              <w:rPr>
                <w:color w:val="000000"/>
              </w:rPr>
              <w:t>ованный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средства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поступившие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</w:t>
            </w:r>
            <w:r>
              <w:rPr>
                <w:color w:val="000000"/>
              </w:rPr>
              <w:t>ществление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ями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ыми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4.2.3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4.4.4. </w:t>
            </w:r>
            <w:r>
              <w:rPr>
                <w:color w:val="000000"/>
              </w:rPr>
              <w:t>обращаться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разъяснений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связи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</w:t>
            </w:r>
            <w:r>
              <w:rPr>
                <w:color w:val="000000"/>
              </w:rPr>
              <w:t>лнением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05395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V. </w:t>
            </w:r>
            <w:r>
              <w:rPr>
                <w:color w:val="000000"/>
              </w:rPr>
              <w:t>Ответственность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5.1.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ненадлежащего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несут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ответственность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законодательством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05395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VI. </w:t>
            </w:r>
            <w:r>
              <w:rPr>
                <w:color w:val="000000"/>
              </w:rPr>
              <w:t>Заключительные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 </w:t>
            </w:r>
            <w:r>
              <w:rPr>
                <w:color w:val="000000"/>
              </w:rPr>
              <w:t>Расторжение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одностороннем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возможно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случаях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6.1.1. </w:t>
            </w:r>
            <w:r>
              <w:rPr>
                <w:color w:val="000000"/>
              </w:rPr>
              <w:t>прекращения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реорганизации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ликвидации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6.1.2. </w:t>
            </w:r>
            <w:r>
              <w:rPr>
                <w:color w:val="000000"/>
              </w:rPr>
              <w:t>нарушения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</w:t>
            </w:r>
            <w:r>
              <w:rPr>
                <w:color w:val="000000"/>
              </w:rPr>
              <w:t>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6.1.3. </w:t>
            </w:r>
            <w:r>
              <w:rPr>
                <w:color w:val="000000"/>
              </w:rPr>
              <w:t>недостижения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4.1.3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6.1.4. </w:t>
            </w:r>
            <w:r>
              <w:rPr>
                <w:color w:val="000000"/>
              </w:rPr>
              <w:t>уменьшения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2.2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6.2.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расторгнуто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одностороннем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6.3. </w:t>
            </w:r>
            <w:r>
              <w:rPr>
                <w:color w:val="000000"/>
              </w:rPr>
              <w:t>Расторжение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исключени</w:t>
            </w:r>
            <w:r>
              <w:rPr>
                <w:color w:val="000000"/>
              </w:rPr>
              <w:t>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расторжения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одностороннем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предусмотренного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6.1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6.4. </w:t>
            </w:r>
            <w:r>
              <w:rPr>
                <w:color w:val="000000"/>
              </w:rPr>
              <w:t>Споры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возникающие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связи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решаются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возможности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путем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переговоров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оформлением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</w:t>
            </w:r>
            <w:r>
              <w:rPr>
                <w:color w:val="000000"/>
              </w:rPr>
              <w:t>етствующих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протоколов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споры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судебном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6.5.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вступает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</w:t>
            </w:r>
            <w:r>
              <w:rPr>
                <w:color w:val="000000"/>
              </w:rPr>
              <w:t>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2.2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действует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6.6. </w:t>
            </w:r>
            <w:r>
              <w:rPr>
                <w:color w:val="000000"/>
              </w:rPr>
              <w:t>Изменение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</w:t>
            </w:r>
            <w:r>
              <w:rPr>
                <w:color w:val="000000"/>
              </w:rPr>
              <w:t>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4.2.2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осуществляется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оформляется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являющегося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6.7.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Электронный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усиленными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053954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VII. </w:t>
            </w:r>
            <w:r>
              <w:rPr>
                <w:color w:val="000000"/>
              </w:rPr>
              <w:t>Платежные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реквизиты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</w:tbl>
    <w:p w:rsidR="00000000" w:rsidRDefault="0005395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0"/>
        <w:gridCol w:w="4501"/>
        <w:gridCol w:w="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315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  <w:p w:rsidR="00000000" w:rsidRDefault="00053954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1053244053675</w:t>
            </w:r>
          </w:p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</w:t>
            </w:r>
            <w:r>
              <w:rPr>
                <w:color w:val="000000"/>
              </w:rPr>
              <w:t>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  <w:p w:rsidR="00000000" w:rsidRDefault="00053954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1023201102572</w:t>
            </w:r>
          </w:p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241050,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Бежицкая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 34</w:t>
            </w:r>
            <w:r>
              <w:rPr>
                <w:color w:val="000000"/>
              </w:rPr>
              <w:t>а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241022,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Академика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Королева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3250058714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3233004155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03816003610)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плательщика</w:t>
            </w:r>
            <w:r>
              <w:rPr>
                <w:color w:val="000000"/>
              </w:rPr>
              <w:t xml:space="preserve"> 03221643150000002700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ГАПОУ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БТЭиР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31816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10720 )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получателя</w:t>
            </w:r>
            <w:r>
              <w:rPr>
                <w:color w:val="000000"/>
              </w:rPr>
              <w:t xml:space="preserve"> 03224643150000002701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362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51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rPr>
                <w:rFonts w:ascii="Arial" w:hAnsi="Arial" w:cs="Arial"/>
              </w:rPr>
            </w:pPr>
          </w:p>
        </w:tc>
      </w:tr>
    </w:tbl>
    <w:p w:rsidR="00000000" w:rsidRDefault="00053954">
      <w:pPr>
        <w:rPr>
          <w:rFonts w:ascii="Arial" w:hAnsi="Arial" w:cs="Arial"/>
        </w:rPr>
      </w:pPr>
    </w:p>
    <w:p w:rsidR="00000000" w:rsidRDefault="0005395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0"/>
        <w:gridCol w:w="45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053954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539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53954" w:rsidRDefault="00053954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954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72"/>
    <w:rsid w:val="00053954"/>
    <w:rsid w:val="00A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B1C280-B528-4965-8B5C-9E1E1E77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29.12.2020 15:00:12</dc:subject>
  <dc:creator>Keysystems.DWH2.ReportDesigner</dc:creator>
  <cp:keywords/>
  <dc:description/>
  <cp:lastModifiedBy>Admin</cp:lastModifiedBy>
  <cp:revision>2</cp:revision>
  <dcterms:created xsi:type="dcterms:W3CDTF">2021-04-05T08:45:00Z</dcterms:created>
  <dcterms:modified xsi:type="dcterms:W3CDTF">2021-04-05T08:45:00Z</dcterms:modified>
</cp:coreProperties>
</file>