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3"/>
        <w:gridCol w:w="7378"/>
        <w:gridCol w:w="1753"/>
        <w:gridCol w:w="2204"/>
      </w:tblGrid>
      <w:tr w:rsidR="0044558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3969"/>
            </w:tblGrid>
            <w:tr w:rsidR="009A2CAB" w:rsidTr="009A2CAB">
              <w:trPr>
                <w:trHeight w:val="570"/>
                <w:tblHeader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2CAB" w:rsidRDefault="009A2CAB" w:rsidP="009A2CAB">
                  <w:pPr>
                    <w:spacing w:line="254" w:lineRule="auto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</w:rPr>
                    <w:t>Согласовано:</w:t>
                  </w:r>
                </w:p>
                <w:p w:rsidR="009A2CAB" w:rsidRDefault="009A2CAB" w:rsidP="009A2CAB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Председатель Наблюдательного Совета</w:t>
                  </w:r>
                </w:p>
                <w:p w:rsidR="009A2CAB" w:rsidRDefault="009A2CAB" w:rsidP="009A2CAB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Директор департамента образования и науки Брянской области</w:t>
                  </w:r>
                </w:p>
                <w:p w:rsidR="009A2CAB" w:rsidRDefault="009A2CAB" w:rsidP="009A2CAB">
                  <w:pPr>
                    <w:spacing w:line="254" w:lineRule="auto"/>
                    <w:rPr>
                      <w:rFonts w:ascii="Arial" w:hAnsi="Arial" w:cs="Arial"/>
                    </w:rPr>
                  </w:pPr>
                </w:p>
                <w:p w:rsidR="009A2CAB" w:rsidRDefault="009A2CAB" w:rsidP="009A2CAB">
                  <w:pPr>
                    <w:spacing w:line="254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_________________Е.В. Егорова</w:t>
                  </w:r>
                </w:p>
              </w:tc>
            </w:tr>
            <w:tr w:rsidR="009A2CAB" w:rsidTr="009A2CAB">
              <w:trPr>
                <w:trHeight w:val="526"/>
                <w:tblHeader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2CAB" w:rsidRDefault="009A2CAB" w:rsidP="009A2CAB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 марта 2022г</w:t>
                  </w:r>
                </w:p>
              </w:tc>
            </w:tr>
          </w:tbl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УТВЕРЖДАЮ</w:t>
            </w: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9A2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(наименование должности лица, утверждающего документ)</w:t>
            </w: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9A2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 С.М.</w:t>
            </w: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(подпись)         (расшифровка подписи)</w:t>
            </w: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5589" w:rsidRPr="009A2CAB" w:rsidRDefault="00445589">
            <w:pPr>
              <w:jc w:val="center"/>
              <w:rPr>
                <w:sz w:val="22"/>
                <w:szCs w:val="22"/>
              </w:rPr>
            </w:pPr>
            <w:r w:rsidRPr="009A2CAB">
              <w:rPr>
                <w:color w:val="000000"/>
                <w:sz w:val="22"/>
                <w:szCs w:val="22"/>
              </w:rPr>
              <w:t>"</w:t>
            </w:r>
            <w:r w:rsidR="009A2CAB" w:rsidRPr="009A2CAB">
              <w:rPr>
                <w:color w:val="000000"/>
                <w:sz w:val="22"/>
                <w:szCs w:val="22"/>
              </w:rPr>
              <w:t xml:space="preserve"> 21 </w:t>
            </w:r>
            <w:r w:rsidRPr="009A2CAB">
              <w:rPr>
                <w:color w:val="000000"/>
                <w:sz w:val="22"/>
                <w:szCs w:val="22"/>
              </w:rPr>
              <w:t xml:space="preserve">" </w:t>
            </w:r>
            <w:r w:rsidR="009A2CAB" w:rsidRPr="009A2CAB">
              <w:rPr>
                <w:color w:val="000000"/>
                <w:sz w:val="22"/>
                <w:szCs w:val="22"/>
              </w:rPr>
              <w:t xml:space="preserve">марта </w:t>
            </w:r>
            <w:r w:rsidRPr="009A2CAB">
              <w:rPr>
                <w:color w:val="000000"/>
                <w:sz w:val="22"/>
                <w:szCs w:val="22"/>
              </w:rPr>
              <w:t xml:space="preserve"> 20</w:t>
            </w:r>
            <w:r w:rsidR="009A2CAB" w:rsidRPr="009A2CAB">
              <w:rPr>
                <w:color w:val="000000"/>
                <w:sz w:val="22"/>
                <w:szCs w:val="22"/>
              </w:rPr>
              <w:t>22</w:t>
            </w:r>
            <w:r w:rsidRPr="009A2CAB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финансово-хозяйственной деятельности</w:t>
            </w: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 2022 год и на плановый период 2023 и 2024 годов</w:t>
            </w: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КОДЫ</w:t>
            </w: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21.03.2022</w:t>
            </w: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Наименование </w:t>
            </w:r>
          </w:p>
          <w:p w:rsidR="00445589" w:rsidRDefault="0044558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</w:p>
          <w:p w:rsidR="00445589" w:rsidRDefault="0044558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бюджетного (автономного) </w:t>
            </w:r>
          </w:p>
          <w:p w:rsidR="00445589" w:rsidRDefault="00445589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right"/>
              <w:rPr>
                <w:rFonts w:ascii="Arial" w:hAnsi="Arial" w:cs="Arial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3233004155/325701001</w:t>
            </w: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Код по сводному реестру участников бюджетного процесса, </w:t>
            </w:r>
          </w:p>
          <w:p w:rsidR="00445589" w:rsidRDefault="00445589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Р1072</w:t>
            </w: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383</w:t>
            </w: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</w:p>
        </w:tc>
      </w:tr>
    </w:tbl>
    <w:p w:rsidR="00445589" w:rsidRDefault="00445589">
      <w:pPr>
        <w:rPr>
          <w:rFonts w:ascii="Arial" w:hAnsi="Arial" w:cs="Arial"/>
        </w:rPr>
      </w:pPr>
    </w:p>
    <w:p w:rsidR="00445589" w:rsidRDefault="00445589">
      <w:pPr>
        <w:framePr w:w="16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445589" w:rsidRDefault="00445589">
      <w:pPr>
        <w:rPr>
          <w:rFonts w:ascii="Arial" w:hAnsi="Arial" w:cs="Arial"/>
          <w:sz w:val="8"/>
          <w:szCs w:val="8"/>
        </w:rPr>
      </w:pPr>
      <w:r w:rsidRPr="00445589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445589" w:rsidRDefault="00445589">
      <w:pPr>
        <w:framePr w:w="16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445589" w:rsidRDefault="00445589">
      <w:pPr>
        <w:rPr>
          <w:rFonts w:ascii="Arial" w:hAnsi="Arial" w:cs="Arial"/>
          <w:sz w:val="8"/>
          <w:szCs w:val="8"/>
        </w:rPr>
      </w:pPr>
      <w:r w:rsidRPr="00445589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589" w:rsidRDefault="00445589">
      <w:pPr>
        <w:rPr>
          <w:rFonts w:ascii="Arial" w:hAnsi="Arial" w:cs="Arial"/>
          <w:sz w:val="8"/>
          <w:szCs w:val="8"/>
        </w:rPr>
      </w:pPr>
    </w:p>
    <w:p w:rsidR="00445589" w:rsidRDefault="00445589">
      <w:pPr>
        <w:pageBreakBefore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445589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1. Поступления и выплаты</w:t>
            </w: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2022 г. </w:t>
            </w:r>
          </w:p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2023 г. </w:t>
            </w:r>
          </w:p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2024 г.</w:t>
            </w:r>
          </w:p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912 574,15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272 651 494,72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228 846 496,00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228 846 496,00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194 136 368,00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174 228 675,00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174 228 675,00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186 836 368,00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166 928 675,00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166 928 675,00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77 198 126,72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54 500 821,00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54 500 821,00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76 498 126,72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53 800 821,00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53 800 821,00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Уменьшение стоимости непроизведенных активов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273 164 068,87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228 446 496,00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228 446 496,00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145 419 850,00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137 607 850,00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137 607 850,00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104 300 000,00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98 300 000,00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98 300 000,00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9 711 250,00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9 711 250,00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9 711 250,00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31 308 600,00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29 496 600,00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29 496 600,00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36 339 571,00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35 889 571,00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35 889 571,00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11 600 000,00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гражданам, кроме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11 600 000,00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24 739 571,00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24 589 571,00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24 589 571,00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7 627 000,00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платежи в целях обеспечения реализации соглашений с правительствами иностранных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 и международными 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83 757 647,87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54 829 075,00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54 829 075,00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59 424 647,87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41 500 400,00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41 500 400,00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24 333 000,00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13 328 675,00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13 328 675,00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45589" w:rsidRDefault="00445589">
      <w:pPr>
        <w:rPr>
          <w:rFonts w:ascii="Arial" w:hAnsi="Arial" w:cs="Arial"/>
          <w:sz w:val="8"/>
          <w:szCs w:val="8"/>
        </w:rPr>
      </w:pPr>
    </w:p>
    <w:p w:rsidR="00445589" w:rsidRDefault="00445589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445589" w:rsidRDefault="00445589">
      <w:pPr>
        <w:pageBreakBefore/>
        <w:rPr>
          <w:rFonts w:ascii="Arial" w:hAnsi="Arial" w:cs="Arial"/>
          <w:sz w:val="8"/>
          <w:szCs w:val="8"/>
        </w:rPr>
      </w:pPr>
    </w:p>
    <w:p w:rsidR="00445589" w:rsidRDefault="00445589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44558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2. Сведения о выплатах на закупки товаров, работ, услуг</w:t>
            </w: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2022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2024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83 757 647,87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83 757 647,87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55 526 368,00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43 328 675,00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43 328 675,00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55 526 368,00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43 328 675,00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43 328 675,00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23 185 305,72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23 185 305,72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5 045 974,15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3 200 400,00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3 200 400,00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5 045 974,15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3 200 400,00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3 200 400,00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N 223-ФЗ, по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83 757 647,87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lastRenderedPageBreak/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83 757 647,87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5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589" w:rsidRDefault="0044558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45589" w:rsidRDefault="00445589">
      <w:pPr>
        <w:rPr>
          <w:rFonts w:ascii="Arial" w:hAnsi="Arial" w:cs="Arial"/>
          <w:sz w:val="8"/>
          <w:szCs w:val="8"/>
        </w:rPr>
      </w:pPr>
    </w:p>
    <w:p w:rsidR="00445589" w:rsidRDefault="0044558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3"/>
        <w:gridCol w:w="2425"/>
        <w:gridCol w:w="430"/>
        <w:gridCol w:w="3530"/>
      </w:tblGrid>
      <w:tr w:rsidR="0044558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589" w:rsidRDefault="0044558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45589" w:rsidRDefault="00445589">
      <w:pPr>
        <w:rPr>
          <w:rFonts w:ascii="Arial" w:hAnsi="Arial" w:cs="Arial"/>
          <w:sz w:val="8"/>
          <w:szCs w:val="8"/>
        </w:rPr>
      </w:pPr>
    </w:p>
    <w:sectPr w:rsidR="00445589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77C" w:rsidRDefault="00D5677C">
      <w:r>
        <w:separator/>
      </w:r>
    </w:p>
  </w:endnote>
  <w:endnote w:type="continuationSeparator" w:id="0">
    <w:p w:rsidR="00D5677C" w:rsidRDefault="00D5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89" w:rsidRDefault="00445589">
    <w:pPr>
      <w:framePr w:w="4535" w:h="239" w:wrap="auto" w:hAnchor="text" w:x="201" w:y="1"/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5118FC">
      <w:rPr>
        <w:rFonts w:ascii="Segoe UI" w:hAnsi="Segoe UI" w:cs="Segoe UI"/>
        <w:noProof/>
        <w:color w:val="000000"/>
        <w:sz w:val="20"/>
        <w:szCs w:val="20"/>
      </w:rPr>
      <w:t>1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из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5118FC">
      <w:rPr>
        <w:rFonts w:ascii="Segoe UI" w:hAnsi="Segoe UI" w:cs="Segoe UI"/>
        <w:noProof/>
        <w:color w:val="000000"/>
        <w:sz w:val="20"/>
        <w:szCs w:val="20"/>
      </w:rPr>
      <w:t>10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77C" w:rsidRDefault="00D5677C">
      <w:r>
        <w:separator/>
      </w:r>
    </w:p>
  </w:footnote>
  <w:footnote w:type="continuationSeparator" w:id="0">
    <w:p w:rsidR="00D5677C" w:rsidRDefault="00D56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AB"/>
    <w:rsid w:val="00445589"/>
    <w:rsid w:val="005118FC"/>
    <w:rsid w:val="009A2CAB"/>
    <w:rsid w:val="00D5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FB37B-7330-451B-9AB9-ECD2B765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2C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A2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02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van82 20.11.2019 00:26:54; РР·РјРµРЅРµРЅ: keysystems 18.12.2020 16:52:36</dc:subject>
  <dc:creator>Keysystems.DWH2.ReportDesigner</dc:creator>
  <cp:keywords/>
  <dc:description/>
  <cp:lastModifiedBy>Admin</cp:lastModifiedBy>
  <cp:revision>2</cp:revision>
  <cp:lastPrinted>2022-03-24T09:03:00Z</cp:lastPrinted>
  <dcterms:created xsi:type="dcterms:W3CDTF">2022-03-24T11:47:00Z</dcterms:created>
  <dcterms:modified xsi:type="dcterms:W3CDTF">2022-03-24T11:47:00Z</dcterms:modified>
</cp:coreProperties>
</file>