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53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011"/>
        <w:gridCol w:w="2598"/>
        <w:gridCol w:w="889"/>
        <w:gridCol w:w="2033"/>
        <w:gridCol w:w="979"/>
        <w:gridCol w:w="1899"/>
        <w:gridCol w:w="5126"/>
      </w:tblGrid>
      <w:tr>
        <w:trPr>
          <w:trHeight w:val="288" w:hRule="atLeast"/>
        </w:trPr>
        <w:tc>
          <w:tcPr>
            <w:tcW w:w="15535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8" w:hRule="atLeast"/>
        </w:trPr>
        <w:tc>
          <w:tcPr>
            <w:tcW w:w="201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3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709" w:hRule="atLeast"/>
        </w:trPr>
        <w:tc>
          <w:tcPr>
            <w:tcW w:w="15535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20"/>
              </w:rPr>
              <w:t>Отчет о достижении значений результатов предоставления Субсидии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20"/>
              </w:rPr>
              <w:t>на 01.01.2022г.</w:t>
            </w:r>
          </w:p>
        </w:tc>
      </w:tr>
      <w:tr>
        <w:trPr>
          <w:trHeight w:val="288" w:hRule="atLeast"/>
        </w:trPr>
        <w:tc>
          <w:tcPr>
            <w:tcW w:w="201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3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Наименование Учредителя: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департамент образования и науки Брянской области</w:t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Наименование Учреждения: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рублей (с точностью до второго знака после запятой)</w:t>
            </w:r>
          </w:p>
        </w:tc>
      </w:tr>
    </w:tbl>
    <w:p>
      <w:pPr>
        <w:pStyle w:val="Normal"/>
        <w:bidi w:val="0"/>
        <w:jc w:val="start"/>
        <w:rPr>
          <w:rFonts w:ascii="Arial" w:hAnsi="Arial"/>
          <w:sz w:val="2"/>
        </w:rPr>
      </w:pPr>
      <w:r>
        <w:rPr/>
        <w:br/>
        <w:br/>
        <w:br/>
      </w:r>
    </w:p>
    <w:tbl>
      <w:tblPr>
        <w:tblW w:w="1552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35"/>
        <w:gridCol w:w="835"/>
        <w:gridCol w:w="944"/>
        <w:gridCol w:w="1298"/>
        <w:gridCol w:w="1025"/>
        <w:gridCol w:w="852"/>
        <w:gridCol w:w="1152"/>
        <w:gridCol w:w="1230"/>
        <w:gridCol w:w="1237"/>
        <w:gridCol w:w="1121"/>
        <w:gridCol w:w="1107"/>
        <w:gridCol w:w="1228"/>
        <w:gridCol w:w="1303"/>
        <w:gridCol w:w="1358"/>
      </w:tblGrid>
      <w:tr>
        <w:trPr>
          <w:trHeight w:val="1068" w:hRule="atLeast"/>
        </w:trPr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Номер 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Напра-вление расхо-дов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Анали-тический код Субсидии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Результат предоставле-ния Субсидии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Размер Субсидии, предусмот-ренный Соглаше-нием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Плановые значения результатов предоставле-ния 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Фактические значения результатов предоставле-ния 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Отклонение от планового значения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Причина отклонения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2531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обязательств, принятых в целях достижения результатов предоставления Субсидии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Неиспользованный объем финансового обеспечения (гр.7 - гр.12)</w:t>
            </w:r>
          </w:p>
        </w:tc>
      </w:tr>
      <w:tr>
        <w:trPr>
          <w:trHeight w:val="663" w:hRule="atLeast"/>
        </w:trPr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наимено-вание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код по ОКЕИ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7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21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07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денежных обязательств</w:t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79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</w:t>
            </w:r>
          </w:p>
        </w:tc>
        <w:tc>
          <w:tcPr>
            <w:tcW w:w="122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</w:t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10650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7004</w:t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Капитальный ремонт внутреннего электроосвещения в мастерских Новозыбковского филиала ГАПОУ БТЭиР имени Героя Советского Союза М.А.Афанасьева, расположенного по адресу:г.Новозыбков, ул.Рошаля, д.25 (кредиторская задолженность по договору № Т1-2021 от 13.01.2021г.)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876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1 434 841,63</w:t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1 434 841,63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1 434 841,63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Капитальный ремонт внутреннего электроосвещения в учебном корпусе ГАПОУ БТЭиР имени Героя Советского Союза М.А.Афанасьева, расположенного по адресу: г.Клинцы, пр-т Ленина, д.29 (кредиторская задолженность по договору № Т2-2020 от 12.03.2020г.)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876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</w:tbl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start"/>
        <w:rPr>
          <w:rFonts w:ascii="Arial" w:hAnsi="Arial"/>
          <w:sz w:val="2"/>
        </w:rPr>
      </w:pPr>
      <w:r>
        <w:rPr/>
        <w:br/>
        <w:br/>
      </w:r>
    </w:p>
    <w:tbl>
      <w:tblPr>
        <w:tblW w:w="15519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068"/>
        <w:gridCol w:w="8450"/>
      </w:tblGrid>
      <w:tr>
        <w:trPr>
          <w:trHeight w:val="288" w:hRule="atLeast"/>
        </w:trPr>
        <w:tc>
          <w:tcPr>
            <w:tcW w:w="706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4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380" w:hRule="atLeast"/>
        </w:trPr>
        <w:tc>
          <w:tcPr>
            <w:tcW w:w="706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Учредитель:</w:t>
            </w:r>
          </w:p>
        </w:tc>
        <w:tc>
          <w:tcPr>
            <w:tcW w:w="8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Учреждение:</w:t>
            </w:r>
          </w:p>
        </w:tc>
      </w:tr>
      <w:tr>
        <w:trPr>
          <w:trHeight w:val="404" w:hRule="atLeast"/>
        </w:trPr>
        <w:tc>
          <w:tcPr>
            <w:tcW w:w="706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Подписано ЭП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Чернякова Наталия Викторовна</w:t>
            </w:r>
          </w:p>
        </w:tc>
        <w:tc>
          <w:tcPr>
            <w:tcW w:w="8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Подписано ЭП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Кравченко Сергей Михайлович</w:t>
            </w:r>
          </w:p>
        </w:tc>
      </w:tr>
      <w:tr>
        <w:trPr>
          <w:trHeight w:val="251" w:hRule="atLeast"/>
        </w:trPr>
        <w:tc>
          <w:tcPr>
            <w:tcW w:w="706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4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</w:tbl>
    <w:p>
      <w:pPr>
        <w:pStyle w:val="Normal"/>
        <w:bidi w:val="0"/>
        <w:jc w:val="start"/>
        <w:rPr/>
      </w:pPr>
      <w:r>
        <w:rPr/>
        <w:drawing>
          <wp:inline distT="0" distB="0" distL="0" distR="0">
            <wp:extent cx="2629535" cy="783590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/>
        <w:drawing>
          <wp:inline distT="0" distB="0" distL="0" distR="0">
            <wp:extent cx="2629535" cy="783590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901" w:h="11950"/>
      <w:pgMar w:left="567" w:right="567" w:header="0" w:top="567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roman"/>
    <w:pitch w:val="variable"/>
  </w:font>
  <w:font w:name="Segoe UI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start"/>
    </w:pPr>
    <w:rPr>
      <w:rFonts w:ascii="Times New Roman" w:hAnsi="Times New Roman" w:eastAsia="Arial" w:cs="Segoe UI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>
      <w:rFonts w:ascii="Times New Roman" w:hAnsi="Times New Roman"/>
      <w:sz w:val="24"/>
    </w:rPr>
  </w:style>
  <w:style w:type="character" w:styleId="LineNumbering">
    <w:name w:val="Line Numbering"/>
    <w:basedOn w:val="DefaultParagraphFont"/>
    <w:rPr/>
  </w:style>
  <w:style w:type="character" w:styleId="InternetLink">
    <w:name w:val="Hyperlink"/>
    <w:rPr>
      <w:rFonts w:ascii="Times New Roman" w:hAnsi="Times New Roman"/>
      <w:color w:val="0000FF"/>
      <w:sz w:val="24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 w:val="false"/>
      <w:bidi w:val="0"/>
      <w:jc w:val="start"/>
    </w:pPr>
    <w:rPr>
      <w:rFonts w:ascii="Times New Roman" w:hAnsi="Times New Roman" w:eastAsia="Arial" w:cs="Segoe UI"/>
      <w:color w:val="auto"/>
      <w:kern w:val="2"/>
      <w:sz w:val="24"/>
      <w:szCs w:val="24"/>
      <w:lang w:val="en-US" w:eastAsia="zh-CN" w:bidi="hi-IN"/>
    </w:rPr>
  </w:style>
  <w:style w:type="paragraph" w:styleId="TableSimple1">
    <w:name w:val="Table Simple 1"/>
    <w:basedOn w:val="NormalTable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2022-01-24T16:21:00Z</dcterms:created>
  <dc:creator>Keysystems.DWH2.ReportDesigner</dc:creator>
  <dc:description/>
  <dc:language>en-US</dc:language>
  <cp:lastModifiedBy/>
  <dcterms:modified xsi:type="dcterms:W3CDTF">2022-01-24T16:21:00Z</dcterms:modified>
  <cp:revision>1</cp:revision>
  <dc:subject>РЎРѕР·РґР°РЅ: keysystems 23.09.2020 12:06:17; РР·РјРµРЅРµРЅ: kuleshov 19.01.2022 09:19:18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DESKTOP-HLS6306\3tv</vt:lpwstr>
  </property>
</Properties>
</file>