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3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26.12.2022 № 56з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81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Отчет о расходах, источником финансового обеспечения которых является Субсидия</w:t>
            </w:r>
          </w:p>
          <w:p w14:paraId="0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"___" __________________ 20___ г.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</w:tbl>
    <w:p w14:paraId="1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>
        <w:trPr>
          <w:trHeight w:hRule="atLeast" w:val="562"/>
        </w:trPr>
        <w:tc>
          <w:tcPr>
            <w:tcW w:type="dxa" w:w="179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Субсидия</w:t>
            </w:r>
          </w:p>
        </w:tc>
        <w:tc>
          <w:tcPr>
            <w:tcW w:type="dxa" w:w="12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КБК расходов</w:t>
            </w:r>
          </w:p>
        </w:tc>
        <w:tc>
          <w:tcPr>
            <w:tcW w:type="dxa" w:w="257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Остаток на начало текущего финансового года</w:t>
            </w:r>
          </w:p>
        </w:tc>
        <w:tc>
          <w:tcPr>
            <w:tcW w:type="dxa" w:w="4363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Поступления</w:t>
            </w:r>
          </w:p>
        </w:tc>
        <w:tc>
          <w:tcPr>
            <w:tcW w:type="dxa" w:w="22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Выплаты</w:t>
            </w:r>
          </w:p>
        </w:tc>
        <w:tc>
          <w:tcPr>
            <w:tcW w:type="dxa" w:w="328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Остаток Субсидии на конец отчетного периода</w:t>
            </w:r>
          </w:p>
        </w:tc>
      </w:tr>
      <w:tr>
        <w:trPr>
          <w:trHeight w:hRule="atLeast" w:val="297"/>
        </w:trPr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наиме-нование</w:t>
            </w:r>
          </w:p>
        </w:tc>
        <w:tc>
          <w:tcPr>
            <w:tcW w:type="dxa" w:w="9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анали-тический код субсидии</w:t>
            </w:r>
          </w:p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34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них: разрешенный к использова-нию</w:t>
            </w:r>
          </w:p>
        </w:tc>
        <w:tc>
          <w:tcPr>
            <w:tcW w:type="dxa" w:w="107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328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них: возвращено в областной бюджет</w:t>
            </w:r>
          </w:p>
        </w:tc>
        <w:tc>
          <w:tcPr>
            <w:tcW w:type="dxa" w:w="10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2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требуется в направлении на те же цели</w:t>
            </w:r>
          </w:p>
        </w:tc>
        <w:tc>
          <w:tcPr>
            <w:tcW w:type="dxa" w:w="95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подлежит возврату</w:t>
            </w:r>
          </w:p>
        </w:tc>
      </w:tr>
      <w:tr>
        <w:trPr>
          <w:trHeight w:hRule="atLeast" w:val="554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областного бюджета</w:t>
            </w:r>
          </w:p>
        </w:tc>
        <w:tc>
          <w:tcPr>
            <w:tcW w:type="dxa" w:w="21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 дебиторской задолженности</w:t>
            </w: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899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9"/>
        </w:trPr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2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3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0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2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95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14:paraId="3F000000">
      <w:pPr>
        <w:rPr>
          <w:rFonts w:ascii="Arial" w:hAnsi="Arial"/>
        </w:rPr>
      </w:pPr>
    </w:p>
    <w:p w14:paraId="4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</w:tr>
    </w:tbl>
    <w:p w14:paraId="4B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  <w:rPr>
      <w:rFonts w:asciiTheme="minorAscii" w:hAnsiTheme="minorHAnsi"/>
      <w:sz w:val="24"/>
    </w:rPr>
  </w:style>
  <w:style w:styleId="Style_17_ch" w:type="character">
    <w:name w:val="Default Paragraph Font"/>
    <w:link w:val="Style_17"/>
    <w:rPr>
      <w:rFonts w:asciiTheme="minorAscii" w:hAnsiTheme="minorHAnsi"/>
      <w:sz w:val="24"/>
    </w:rPr>
  </w:style>
  <w:style w:styleId="Style_18" w:type="paragraph">
    <w:name w:val="line number"/>
    <w:basedOn w:val="Style_17"/>
    <w:link w:val="Style_18_ch"/>
    <w:rPr>
      <w:rFonts w:asciiTheme="minorAscii" w:hAnsiTheme="minorHAnsi"/>
      <w:sz w:val="24"/>
    </w:rPr>
  </w:style>
  <w:style w:styleId="Style_18_ch" w:type="character">
    <w:name w:val="line number"/>
    <w:basedOn w:val="Style_17_ch"/>
    <w:link w:val="Style_18"/>
    <w:rPr>
      <w:rFonts w:asciiTheme="minorAscii" w:hAnsiTheme="minorHAnsi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2022-12-27T14:00:54Z</dcterms:modified>
</cp:coreProperties>
</file>