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1083"/>
        <w:gridCol w:w="2849"/>
        <w:gridCol w:w="3969"/>
        <w:gridCol w:w="2843"/>
      </w:tblGrid>
      <w:tr>
        <w:trPr>
          <w:trHeight w:hRule="atLeast" w:val="932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Дополнительному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20.10.2022 № 56а/4</w:t>
            </w:r>
          </w:p>
        </w:tc>
      </w:tr>
      <w:tr>
        <w:trPr>
          <w:trHeight w:hRule="atLeast" w:val="288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90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График перечисления Субсидии</w:t>
            </w:r>
          </w:p>
        </w:tc>
      </w:tr>
      <w:tr>
        <w:trPr>
          <w:trHeight w:hRule="atLeast" w:val="288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98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476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Вид документа: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  <w:tr>
        <w:trPr>
          <w:trHeight w:hRule="atLeast" w:val="1193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 (по расходам областного бюджета на предоставление Субсидии):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>
        <w:trPr>
          <w:trHeight w:hRule="atLeast" w:val="125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1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Номер строки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Аналитический код Субсидии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Период предоставления Субсидии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>
        <w:trPr>
          <w:trHeight w:hRule="atLeast" w:val="288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2 030 320,00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2 100 000,00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2 070 000,00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2 070 000,00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2 200 000,00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1 540 000,00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1 540 000,00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1 839 251,00</w:t>
            </w:r>
          </w:p>
        </w:tc>
      </w:tr>
      <w:tr>
        <w:trPr>
          <w:trHeight w:hRule="atLeast" w:val="288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2 359 211,00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2 000 000,00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2 000 000,00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3 900 000,00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3 100 000,00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2 952 039,00</w:t>
            </w:r>
          </w:p>
        </w:tc>
      </w:tr>
    </w:tbl>
    <w:p w14:paraId="7D000000">
      <w:pPr>
        <w:rPr>
          <w:rFonts w:ascii="Arial" w:hAnsi="Arial"/>
          <w:sz w:val="2"/>
        </w:rPr>
      </w:pPr>
    </w:p>
    <w:tbl>
      <w:tblPr>
        <w:tblStyle w:val="Style_1"/>
        <w:tblInd w:type="dxa" w:w="29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7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7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64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>
        <w:trPr>
          <w:trHeight w:hRule="atLeast" w:val="972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8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8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 Сергей Михайлович</w:t>
            </w:r>
          </w:p>
        </w:tc>
      </w:tr>
    </w:tbl>
    <w:p w14:paraId="86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2022-10-21T09:02:47Z</dcterms:modified>
</cp:coreProperties>
</file>