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СОГЛАШЕНИЕ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</w:t>
            </w:r>
            <w:r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</w:t>
            </w:r>
            <w:r>
              <w:rPr>
                <w:b/>
                <w:bCs/>
                <w:color w:val="000000"/>
              </w:rPr>
              <w:t>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51507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</w:t>
            </w:r>
            <w:r>
              <w:rPr>
                <w:color w:val="000000"/>
              </w:rPr>
              <w:t>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</w:t>
            </w:r>
            <w:r>
              <w:rPr>
                <w:color w:val="000000"/>
              </w:rPr>
              <w:t>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подведомственным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27.11.2020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реквизиты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</w:t>
            </w:r>
            <w:r>
              <w:rPr>
                <w:color w:val="000000"/>
                <w:sz w:val="20"/>
                <w:szCs w:val="20"/>
              </w:rPr>
              <w:t>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абзацем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вторым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статьи</w:t>
            </w:r>
            <w:r>
              <w:rPr>
                <w:color w:val="000000"/>
                <w:sz w:val="20"/>
                <w:szCs w:val="20"/>
              </w:rPr>
              <w:t xml:space="preserve"> 78.1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кодекса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выставок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финалов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онференций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первенств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олимпиад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соревнований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фестивалей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различным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направлениям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7052.</w:t>
            </w:r>
          </w:p>
        </w:tc>
      </w:tr>
    </w:tbl>
    <w:p w:rsidR="00000000" w:rsidRDefault="0051507C">
      <w:pPr>
        <w:rPr>
          <w:rFonts w:ascii="Arial" w:hAnsi="Arial" w:cs="Arial"/>
        </w:rPr>
      </w:pPr>
    </w:p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200 000 (</w:t>
            </w:r>
            <w:r>
              <w:rPr>
                <w:color w:val="000000"/>
              </w:rPr>
              <w:t>Двести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200 000 (</w:t>
            </w:r>
            <w:r>
              <w:rPr>
                <w:color w:val="000000"/>
              </w:rPr>
              <w:t>Двести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16403 10650 622 (7052).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</w:t>
            </w:r>
            <w:r>
              <w:rPr>
                <w:color w:val="000000"/>
              </w:rPr>
              <w:t>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</w:t>
            </w:r>
            <w:r>
              <w:rPr>
                <w:color w:val="000000"/>
              </w:rPr>
              <w:t>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4.1.4.3. </w:t>
            </w:r>
            <w:r>
              <w:rPr>
                <w:color w:val="000000"/>
              </w:rPr>
              <w:t>напр</w:t>
            </w:r>
            <w:r>
              <w:rPr>
                <w:color w:val="000000"/>
              </w:rPr>
              <w:t>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</w:t>
            </w:r>
            <w:r>
              <w:rPr>
                <w:color w:val="000000"/>
              </w:rPr>
              <w:t>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</w:t>
            </w:r>
            <w:r>
              <w:rPr>
                <w:color w:val="000000"/>
              </w:rPr>
              <w:t>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4.1.7. </w:t>
            </w:r>
            <w:r>
              <w:rPr>
                <w:color w:val="000000"/>
              </w:rPr>
              <w:t>утверждать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</w:t>
            </w:r>
            <w:r>
              <w:rPr>
                <w:color w:val="000000"/>
              </w:rPr>
              <w:t>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</w:t>
            </w:r>
            <w:r>
              <w:rPr>
                <w:color w:val="000000"/>
              </w:rPr>
              <w:t>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</w:t>
            </w:r>
            <w:r>
              <w:rPr>
                <w:color w:val="000000"/>
              </w:rPr>
              <w:t>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</w:t>
            </w:r>
            <w:r>
              <w:rPr>
                <w:color w:val="000000"/>
              </w:rPr>
              <w:t>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>Уч</w:t>
            </w:r>
            <w:r>
              <w:rPr>
                <w:color w:val="000000"/>
              </w:rPr>
              <w:t>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запроса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</w:t>
            </w:r>
            <w:r>
              <w:rPr>
                <w:color w:val="000000"/>
              </w:rPr>
              <w:t>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</w:t>
            </w:r>
            <w:r>
              <w:rPr>
                <w:color w:val="000000"/>
              </w:rPr>
              <w:t>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>рушения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>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.2023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</w:t>
            </w:r>
            <w:r>
              <w:rPr>
                <w:color w:val="000000"/>
              </w:rPr>
              <w:t>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</w:t>
            </w:r>
            <w:r>
              <w:rPr>
                <w:color w:val="000000"/>
              </w:rPr>
              <w:t>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</w:t>
            </w:r>
            <w:r>
              <w:rPr>
                <w:color w:val="000000"/>
              </w:rPr>
              <w:t>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</w:t>
            </w:r>
            <w:r>
              <w:rPr>
                <w:color w:val="000000"/>
              </w:rPr>
              <w:t>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</w:t>
            </w:r>
            <w:r>
              <w:rPr>
                <w:color w:val="000000"/>
              </w:rPr>
              <w:t>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</w:t>
            </w:r>
            <w:r>
              <w:rPr>
                <w:color w:val="000000"/>
              </w:rPr>
              <w:t>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4.2.2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51507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</w:t>
            </w:r>
            <w:r>
              <w:rPr>
                <w:color w:val="000000"/>
              </w:rPr>
              <w:t>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51507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51507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</w:t>
            </w:r>
            <w:r>
              <w:rPr>
                <w:color w:val="000000"/>
              </w:rPr>
              <w:t>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</w:rPr>
            </w:pPr>
          </w:p>
        </w:tc>
      </w:tr>
    </w:tbl>
    <w:p w:rsidR="00000000" w:rsidRDefault="0051507C">
      <w:pPr>
        <w:rPr>
          <w:rFonts w:ascii="Arial" w:hAnsi="Arial" w:cs="Arial"/>
        </w:rPr>
      </w:pPr>
    </w:p>
    <w:p w:rsidR="00000000" w:rsidRDefault="005150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1507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50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1507C" w:rsidRDefault="0051507C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07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2"/>
    <w:rsid w:val="0051507C"/>
    <w:rsid w:val="00C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47442-7632-4D46-8B3E-14C2096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111</cp:lastModifiedBy>
  <cp:revision>2</cp:revision>
  <dcterms:created xsi:type="dcterms:W3CDTF">2022-01-20T13:57:00Z</dcterms:created>
  <dcterms:modified xsi:type="dcterms:W3CDTF">2022-01-20T13:57:00Z</dcterms:modified>
</cp:coreProperties>
</file>